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BB" w:rsidRPr="00E12410" w:rsidRDefault="005512BB" w:rsidP="005512BB">
      <w:pPr>
        <w:spacing w:after="0" w:line="240" w:lineRule="auto"/>
        <w:ind w:firstLine="851"/>
        <w:jc w:val="right"/>
        <w:rPr>
          <w:rFonts w:ascii="Times New Roman" w:eastAsia="Times New Roman" w:hAnsi="Times New Roman"/>
          <w:color w:val="000000"/>
          <w:sz w:val="28"/>
          <w:szCs w:val="28"/>
          <w:lang w:eastAsia="uk-UA"/>
        </w:rPr>
      </w:pPr>
      <w:r w:rsidRPr="004037CB">
        <w:rPr>
          <w:rFonts w:ascii="Times New Roman" w:eastAsia="Times New Roman" w:hAnsi="Times New Roman"/>
          <w:b/>
          <w:bCs/>
          <w:color w:val="000000"/>
          <w:sz w:val="28"/>
          <w:szCs w:val="28"/>
          <w:bdr w:val="none" w:sz="0" w:space="0" w:color="auto" w:frame="1"/>
          <w:lang w:val="ru-RU" w:eastAsia="uk-UA"/>
        </w:rPr>
        <w:t>1</w:t>
      </w:r>
      <w:r>
        <w:rPr>
          <w:rFonts w:ascii="Times New Roman" w:eastAsia="Times New Roman" w:hAnsi="Times New Roman"/>
          <w:b/>
          <w:bCs/>
          <w:color w:val="000000"/>
          <w:sz w:val="28"/>
          <w:szCs w:val="28"/>
          <w:bdr w:val="none" w:sz="0" w:space="0" w:color="auto" w:frame="1"/>
          <w:lang w:val="ru-RU" w:eastAsia="uk-UA"/>
        </w:rPr>
        <w:t>7</w:t>
      </w:r>
      <w:r w:rsidRPr="00E12410">
        <w:rPr>
          <w:rFonts w:ascii="Times New Roman" w:eastAsia="Times New Roman" w:hAnsi="Times New Roman"/>
          <w:b/>
          <w:bCs/>
          <w:color w:val="000000"/>
          <w:sz w:val="28"/>
          <w:szCs w:val="28"/>
          <w:bdr w:val="none" w:sz="0" w:space="0" w:color="auto" w:frame="1"/>
          <w:lang w:eastAsia="uk-UA"/>
        </w:rPr>
        <w:t>.0</w:t>
      </w:r>
      <w:r w:rsidRPr="004037CB">
        <w:rPr>
          <w:rFonts w:ascii="Times New Roman" w:eastAsia="Times New Roman" w:hAnsi="Times New Roman"/>
          <w:b/>
          <w:bCs/>
          <w:color w:val="000000"/>
          <w:sz w:val="28"/>
          <w:szCs w:val="28"/>
          <w:bdr w:val="none" w:sz="0" w:space="0" w:color="auto" w:frame="1"/>
          <w:lang w:val="ru-RU" w:eastAsia="uk-UA"/>
        </w:rPr>
        <w:t>1</w:t>
      </w:r>
      <w:r w:rsidRPr="00E12410">
        <w:rPr>
          <w:rFonts w:ascii="Times New Roman" w:eastAsia="Times New Roman" w:hAnsi="Times New Roman"/>
          <w:b/>
          <w:bCs/>
          <w:color w:val="000000"/>
          <w:sz w:val="28"/>
          <w:szCs w:val="28"/>
          <w:bdr w:val="none" w:sz="0" w:space="0" w:color="auto" w:frame="1"/>
          <w:lang w:eastAsia="uk-UA"/>
        </w:rPr>
        <w:t>.201</w:t>
      </w:r>
      <w:r w:rsidRPr="004037CB">
        <w:rPr>
          <w:rFonts w:ascii="Times New Roman" w:eastAsia="Times New Roman" w:hAnsi="Times New Roman"/>
          <w:b/>
          <w:bCs/>
          <w:color w:val="000000"/>
          <w:sz w:val="28"/>
          <w:szCs w:val="28"/>
          <w:bdr w:val="none" w:sz="0" w:space="0" w:color="auto" w:frame="1"/>
          <w:lang w:val="ru-RU" w:eastAsia="uk-UA"/>
        </w:rPr>
        <w:t>8</w:t>
      </w:r>
      <w:r w:rsidRPr="00E12410">
        <w:rPr>
          <w:rFonts w:ascii="Times New Roman" w:eastAsia="Times New Roman" w:hAnsi="Times New Roman"/>
          <w:color w:val="000000"/>
          <w:sz w:val="28"/>
          <w:szCs w:val="28"/>
          <w:lang w:eastAsia="uk-UA"/>
        </w:rPr>
        <w:t> </w:t>
      </w:r>
    </w:p>
    <w:p w:rsidR="005512BB" w:rsidRDefault="005512BB" w:rsidP="005512BB">
      <w:pPr>
        <w:spacing w:after="0" w:line="240" w:lineRule="auto"/>
        <w:jc w:val="right"/>
        <w:rPr>
          <w:rFonts w:ascii="Times New Roman" w:hAnsi="Times New Roman"/>
        </w:rPr>
      </w:pPr>
    </w:p>
    <w:p w:rsidR="005512BB" w:rsidRPr="00942A1C" w:rsidRDefault="005512BB" w:rsidP="005512BB">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Обґрунтування П</w:t>
      </w:r>
      <w:r w:rsidRPr="00942A1C">
        <w:rPr>
          <w:rFonts w:ascii="Times New Roman" w:hAnsi="Times New Roman"/>
          <w:b/>
          <w:sz w:val="28"/>
          <w:szCs w:val="28"/>
        </w:rPr>
        <w:t>АТ «</w:t>
      </w:r>
      <w:r>
        <w:rPr>
          <w:rFonts w:ascii="Times New Roman" w:hAnsi="Times New Roman"/>
          <w:b/>
          <w:sz w:val="28"/>
          <w:szCs w:val="28"/>
          <w:lang w:val="ru-RU"/>
        </w:rPr>
        <w:t>ЧЕРНІГІВОБЛЕНЕРГО</w:t>
      </w:r>
      <w:r w:rsidRPr="00942A1C">
        <w:rPr>
          <w:rFonts w:ascii="Times New Roman" w:hAnsi="Times New Roman"/>
          <w:b/>
          <w:sz w:val="28"/>
          <w:szCs w:val="28"/>
        </w:rPr>
        <w:t>»</w:t>
      </w:r>
    </w:p>
    <w:p w:rsidR="005512BB" w:rsidRDefault="005512BB" w:rsidP="005512BB">
      <w:pPr>
        <w:spacing w:after="0" w:line="240" w:lineRule="auto"/>
        <w:jc w:val="center"/>
        <w:rPr>
          <w:rFonts w:ascii="Times New Roman" w:hAnsi="Times New Roman"/>
          <w:b/>
          <w:sz w:val="28"/>
          <w:szCs w:val="28"/>
        </w:rPr>
      </w:pPr>
      <w:r w:rsidRPr="00942A1C">
        <w:rPr>
          <w:rFonts w:ascii="Times New Roman" w:hAnsi="Times New Roman"/>
          <w:b/>
          <w:sz w:val="28"/>
          <w:szCs w:val="28"/>
        </w:rPr>
        <w:t xml:space="preserve">щодо необхідності </w:t>
      </w:r>
      <w:r>
        <w:rPr>
          <w:rFonts w:ascii="Times New Roman" w:eastAsia="Times New Roman" w:hAnsi="Times New Roman"/>
          <w:b/>
          <w:bCs/>
          <w:kern w:val="36"/>
          <w:sz w:val="30"/>
          <w:szCs w:val="30"/>
          <w:lang w:eastAsia="uk-UA"/>
        </w:rPr>
        <w:t>перегляду структур та рівнів тарифів</w:t>
      </w:r>
      <w:r w:rsidRPr="00CC7738">
        <w:rPr>
          <w:rFonts w:ascii="Times New Roman" w:eastAsia="Times New Roman" w:hAnsi="Times New Roman"/>
          <w:b/>
          <w:bCs/>
          <w:kern w:val="36"/>
          <w:sz w:val="30"/>
          <w:szCs w:val="30"/>
          <w:lang w:eastAsia="uk-UA"/>
        </w:rPr>
        <w:t xml:space="preserve"> </w:t>
      </w:r>
      <w:r w:rsidRPr="00A12039">
        <w:rPr>
          <w:rFonts w:ascii="Times New Roman" w:hAnsi="Times New Roman"/>
          <w:b/>
          <w:sz w:val="28"/>
          <w:szCs w:val="28"/>
        </w:rPr>
        <w:t>на</w:t>
      </w:r>
    </w:p>
    <w:p w:rsidR="005512BB" w:rsidRDefault="005512BB" w:rsidP="005512BB">
      <w:pPr>
        <w:spacing w:after="0" w:line="240" w:lineRule="auto"/>
        <w:jc w:val="center"/>
        <w:rPr>
          <w:rFonts w:ascii="Times New Roman" w:hAnsi="Times New Roman"/>
          <w:b/>
          <w:sz w:val="28"/>
          <w:szCs w:val="28"/>
        </w:rPr>
      </w:pPr>
      <w:r w:rsidRPr="00A12039">
        <w:rPr>
          <w:rFonts w:ascii="Times New Roman" w:hAnsi="Times New Roman"/>
          <w:b/>
          <w:sz w:val="28"/>
          <w:szCs w:val="28"/>
        </w:rPr>
        <w:t xml:space="preserve"> </w:t>
      </w:r>
      <w:r>
        <w:rPr>
          <w:rFonts w:ascii="Times New Roman" w:hAnsi="Times New Roman"/>
          <w:b/>
          <w:sz w:val="28"/>
          <w:szCs w:val="28"/>
        </w:rPr>
        <w:t>розподіл електричної енергії  (передачу електричної енергії місцевими (локальними) електромережами)</w:t>
      </w:r>
      <w:r w:rsidRPr="00A12039">
        <w:rPr>
          <w:rFonts w:ascii="Times New Roman" w:hAnsi="Times New Roman"/>
          <w:b/>
          <w:sz w:val="28"/>
          <w:szCs w:val="28"/>
        </w:rPr>
        <w:t xml:space="preserve"> та</w:t>
      </w:r>
      <w:r>
        <w:rPr>
          <w:rFonts w:ascii="Times New Roman" w:hAnsi="Times New Roman"/>
          <w:b/>
          <w:sz w:val="28"/>
          <w:szCs w:val="28"/>
        </w:rPr>
        <w:t xml:space="preserve"> тарифів на</w:t>
      </w:r>
      <w:r w:rsidRPr="00A12039">
        <w:rPr>
          <w:rFonts w:ascii="Times New Roman" w:hAnsi="Times New Roman"/>
          <w:b/>
          <w:sz w:val="28"/>
          <w:szCs w:val="28"/>
        </w:rPr>
        <w:t xml:space="preserve"> постачання </w:t>
      </w:r>
      <w:r>
        <w:rPr>
          <w:rFonts w:ascii="Times New Roman" w:hAnsi="Times New Roman"/>
          <w:b/>
          <w:sz w:val="28"/>
          <w:szCs w:val="28"/>
        </w:rPr>
        <w:t>електричної енергії (які здійснюють постачання на закріпленій території) на 2018 рік у разі переходу на</w:t>
      </w:r>
      <w:r w:rsidRPr="00A12039">
        <w:rPr>
          <w:rFonts w:ascii="Times New Roman" w:hAnsi="Times New Roman"/>
          <w:b/>
          <w:sz w:val="28"/>
          <w:szCs w:val="28"/>
        </w:rPr>
        <w:t xml:space="preserve"> стимулююч</w:t>
      </w:r>
      <w:r>
        <w:rPr>
          <w:rFonts w:ascii="Times New Roman" w:hAnsi="Times New Roman"/>
          <w:b/>
          <w:sz w:val="28"/>
          <w:szCs w:val="28"/>
        </w:rPr>
        <w:t>е</w:t>
      </w:r>
      <w:r w:rsidRPr="00A12039">
        <w:rPr>
          <w:rFonts w:ascii="Times New Roman" w:hAnsi="Times New Roman"/>
          <w:b/>
          <w:sz w:val="28"/>
          <w:szCs w:val="28"/>
        </w:rPr>
        <w:t xml:space="preserve"> </w:t>
      </w:r>
      <w:r>
        <w:rPr>
          <w:rFonts w:ascii="Times New Roman" w:hAnsi="Times New Roman"/>
          <w:b/>
          <w:sz w:val="28"/>
          <w:szCs w:val="28"/>
        </w:rPr>
        <w:t>регулювання відповідно до постанови НКРЕ від 26.07.2013р. №1030 «Про затвердження Процедури встановлення тарифів для ліцензіатів з постачання електричної енергії за регульованим тарифом та/або з передачі електричної енергії місцевими (локальними) електричними мережами у разі застосування стимулюючого регулювання»</w:t>
      </w:r>
    </w:p>
    <w:p w:rsidR="005512BB" w:rsidRPr="005512BB" w:rsidRDefault="005512BB" w:rsidP="005512BB">
      <w:pPr>
        <w:spacing w:after="0" w:line="240" w:lineRule="auto"/>
        <w:ind w:firstLine="709"/>
        <w:jc w:val="both"/>
        <w:rPr>
          <w:rFonts w:ascii="Times New Roman" w:hAnsi="Times New Roman"/>
          <w:sz w:val="28"/>
        </w:rPr>
      </w:pPr>
    </w:p>
    <w:p w:rsidR="00C42A7E" w:rsidRPr="00C42A7E" w:rsidRDefault="00C42A7E" w:rsidP="005512BB">
      <w:pPr>
        <w:spacing w:after="0" w:line="240" w:lineRule="auto"/>
        <w:ind w:firstLine="709"/>
        <w:jc w:val="both"/>
        <w:rPr>
          <w:rFonts w:ascii="Times New Roman" w:hAnsi="Times New Roman"/>
          <w:sz w:val="28"/>
        </w:rPr>
      </w:pPr>
    </w:p>
    <w:p w:rsidR="00C42A7E" w:rsidRPr="00985D8F" w:rsidRDefault="00C42A7E" w:rsidP="005512BB">
      <w:pPr>
        <w:spacing w:after="0" w:line="240" w:lineRule="auto"/>
        <w:ind w:firstLine="709"/>
        <w:jc w:val="both"/>
        <w:rPr>
          <w:rFonts w:ascii="Times New Roman" w:hAnsi="Times New Roman"/>
          <w:sz w:val="28"/>
        </w:rPr>
      </w:pPr>
    </w:p>
    <w:p w:rsidR="00C42A7E" w:rsidRDefault="00C42A7E" w:rsidP="00C42A7E">
      <w:pPr>
        <w:spacing w:after="0" w:line="240" w:lineRule="auto"/>
        <w:ind w:firstLine="851"/>
        <w:jc w:val="both"/>
        <w:rPr>
          <w:rFonts w:ascii="Times New Roman" w:hAnsi="Times New Roman"/>
          <w:sz w:val="28"/>
        </w:rPr>
      </w:pPr>
      <w:r>
        <w:rPr>
          <w:rFonts w:ascii="Times New Roman" w:hAnsi="Times New Roman"/>
          <w:sz w:val="28"/>
        </w:rPr>
        <w:t>На виконання Угоди про асоціацію між Україною та Європейським союзом, Європейським співтовариством з атомної енергії і їхніми державами-членами та зобов’язань, передбачених Договором про заснування Європейського співтовариства в частині впровадження Директиви 2009/72/ЄС Україні необхідно вжити заходів щодо запровадження принципів стимулювання при реалізації тарифної політики.</w:t>
      </w:r>
    </w:p>
    <w:p w:rsidR="00C42A7E" w:rsidRPr="005512BB" w:rsidRDefault="00C42A7E" w:rsidP="00C42A7E">
      <w:pPr>
        <w:spacing w:after="0" w:line="240" w:lineRule="auto"/>
        <w:ind w:firstLine="709"/>
        <w:jc w:val="both"/>
        <w:rPr>
          <w:rFonts w:ascii="Times New Roman" w:hAnsi="Times New Roman"/>
          <w:sz w:val="28"/>
        </w:rPr>
      </w:pPr>
      <w:r w:rsidRPr="005512BB">
        <w:rPr>
          <w:rFonts w:ascii="Times New Roman" w:hAnsi="Times New Roman"/>
          <w:b/>
          <w:bCs/>
          <w:sz w:val="28"/>
        </w:rPr>
        <w:t xml:space="preserve">Стимулююче регулювання </w:t>
      </w:r>
      <w:r w:rsidRPr="005512BB">
        <w:rPr>
          <w:rFonts w:ascii="Times New Roman" w:hAnsi="Times New Roman"/>
          <w:sz w:val="28"/>
        </w:rPr>
        <w:t xml:space="preserve">– це система </w:t>
      </w:r>
      <w:proofErr w:type="spellStart"/>
      <w:r w:rsidRPr="005512BB">
        <w:rPr>
          <w:rFonts w:ascii="Times New Roman" w:hAnsi="Times New Roman"/>
          <w:sz w:val="28"/>
        </w:rPr>
        <w:t>тарифоутворення</w:t>
      </w:r>
      <w:proofErr w:type="spellEnd"/>
      <w:r w:rsidRPr="005512BB">
        <w:rPr>
          <w:rFonts w:ascii="Times New Roman" w:hAnsi="Times New Roman"/>
          <w:sz w:val="28"/>
        </w:rPr>
        <w:t xml:space="preserve"> на основі довгострокового регулювання тарифів, спрямованого на залучення інвестицій для будівництва та модернізації інфраструктури електричних мереж та стимулювання ефективності витрат енергорозподільчих  компаній. Стимулююче регулювання передбачає встановлення величини необхідного доходу в залежності від досягнення встановлених показників надійності електропостачання та якості обслуговування споживачів.</w:t>
      </w:r>
    </w:p>
    <w:p w:rsidR="00C42A7E" w:rsidRPr="005512BB" w:rsidRDefault="00C42A7E" w:rsidP="00C42A7E">
      <w:pPr>
        <w:spacing w:after="0" w:line="240" w:lineRule="auto"/>
        <w:ind w:firstLine="709"/>
        <w:jc w:val="both"/>
        <w:rPr>
          <w:rFonts w:ascii="Times New Roman" w:hAnsi="Times New Roman"/>
          <w:sz w:val="28"/>
        </w:rPr>
      </w:pPr>
      <w:r w:rsidRPr="005512BB">
        <w:rPr>
          <w:rFonts w:ascii="Times New Roman" w:hAnsi="Times New Roman"/>
          <w:sz w:val="28"/>
        </w:rPr>
        <w:t>Основними елементами стимулюючого регулювання є:</w:t>
      </w:r>
    </w:p>
    <w:p w:rsidR="00C42A7E" w:rsidRPr="005512BB" w:rsidRDefault="00C42A7E" w:rsidP="00C42A7E">
      <w:pPr>
        <w:spacing w:after="0" w:line="240" w:lineRule="auto"/>
        <w:ind w:firstLine="709"/>
        <w:jc w:val="both"/>
        <w:rPr>
          <w:rFonts w:ascii="Times New Roman" w:hAnsi="Times New Roman"/>
          <w:sz w:val="28"/>
        </w:rPr>
      </w:pPr>
      <w:r w:rsidRPr="005512BB">
        <w:rPr>
          <w:rFonts w:ascii="Times New Roman" w:hAnsi="Times New Roman"/>
          <w:sz w:val="28"/>
        </w:rPr>
        <w:t>- проведення переоцінки активів з метою встановлення регуляторної бази активів для розрахунку регуляторної амортизації та прибутку; </w:t>
      </w:r>
    </w:p>
    <w:p w:rsidR="00C42A7E" w:rsidRPr="005512BB" w:rsidRDefault="00C42A7E" w:rsidP="00C42A7E">
      <w:pPr>
        <w:spacing w:after="0" w:line="240" w:lineRule="auto"/>
        <w:ind w:firstLine="709"/>
        <w:jc w:val="both"/>
        <w:rPr>
          <w:rFonts w:ascii="Times New Roman" w:hAnsi="Times New Roman"/>
          <w:sz w:val="28"/>
        </w:rPr>
      </w:pPr>
      <w:r w:rsidRPr="005512BB">
        <w:rPr>
          <w:rFonts w:ascii="Times New Roman" w:hAnsi="Times New Roman"/>
          <w:sz w:val="28"/>
        </w:rPr>
        <w:t>- встановлення норми прибутку на рівні, достатньому для залучення необхідного обсягу інвестицій; </w:t>
      </w:r>
    </w:p>
    <w:p w:rsidR="00C42A7E" w:rsidRPr="005512BB" w:rsidRDefault="00C42A7E" w:rsidP="00C42A7E">
      <w:pPr>
        <w:spacing w:after="0" w:line="240" w:lineRule="auto"/>
        <w:ind w:firstLine="709"/>
        <w:jc w:val="both"/>
        <w:rPr>
          <w:rFonts w:ascii="Times New Roman" w:hAnsi="Times New Roman"/>
          <w:sz w:val="28"/>
        </w:rPr>
      </w:pPr>
      <w:r w:rsidRPr="005512BB">
        <w:rPr>
          <w:rFonts w:ascii="Times New Roman" w:hAnsi="Times New Roman"/>
          <w:sz w:val="28"/>
        </w:rPr>
        <w:t>- покриття обґрунтованих операційних витрат; </w:t>
      </w:r>
    </w:p>
    <w:p w:rsidR="00C42A7E" w:rsidRPr="005512BB" w:rsidRDefault="00C42A7E" w:rsidP="00C42A7E">
      <w:pPr>
        <w:spacing w:after="0" w:line="240" w:lineRule="auto"/>
        <w:ind w:firstLine="709"/>
        <w:jc w:val="both"/>
        <w:rPr>
          <w:rFonts w:ascii="Times New Roman" w:hAnsi="Times New Roman"/>
          <w:sz w:val="28"/>
        </w:rPr>
      </w:pPr>
      <w:r w:rsidRPr="005512BB">
        <w:rPr>
          <w:rFonts w:ascii="Times New Roman" w:hAnsi="Times New Roman"/>
          <w:sz w:val="28"/>
        </w:rPr>
        <w:t>- встановлення довгострокових параметрів регулювання (цільових показників якості та надійності).</w:t>
      </w:r>
    </w:p>
    <w:p w:rsidR="005512BB" w:rsidRPr="005512BB" w:rsidRDefault="005512BB" w:rsidP="005512BB">
      <w:pPr>
        <w:spacing w:after="0" w:line="240" w:lineRule="auto"/>
        <w:ind w:firstLine="709"/>
        <w:jc w:val="both"/>
        <w:rPr>
          <w:rFonts w:ascii="Times New Roman" w:hAnsi="Times New Roman"/>
          <w:sz w:val="28"/>
        </w:rPr>
      </w:pPr>
      <w:r w:rsidRPr="005512BB">
        <w:rPr>
          <w:rFonts w:ascii="Times New Roman" w:hAnsi="Times New Roman"/>
          <w:sz w:val="28"/>
        </w:rPr>
        <w:t>Стан електричних мереж та енергетичного обладнання Товариства, необхідність у додатковій потужності для споживачів електричної енергії вимагають значних капіталовкладень, які можуть бути залучені лише за умови впровадження стимулюючого регулювання, що забезпечує можливість реконструкції електричних мереж та розвиток енергетичної інфраструктури.</w:t>
      </w:r>
    </w:p>
    <w:p w:rsidR="005512BB" w:rsidRPr="005512BB" w:rsidRDefault="005512BB" w:rsidP="005512BB">
      <w:pPr>
        <w:spacing w:after="0" w:line="240" w:lineRule="auto"/>
        <w:ind w:firstLine="709"/>
        <w:jc w:val="both"/>
        <w:rPr>
          <w:rFonts w:ascii="Times New Roman" w:hAnsi="Times New Roman"/>
          <w:sz w:val="28"/>
        </w:rPr>
      </w:pPr>
      <w:r w:rsidRPr="005512BB">
        <w:rPr>
          <w:rFonts w:ascii="Times New Roman" w:hAnsi="Times New Roman"/>
          <w:sz w:val="28"/>
        </w:rPr>
        <w:t xml:space="preserve">Споживання електричної енергії усіма категоріями споживачів зростає з року в рік, проте Товариство не має необхідних ресурсів, щоб </w:t>
      </w:r>
      <w:r w:rsidRPr="005512BB">
        <w:rPr>
          <w:rFonts w:ascii="Times New Roman" w:hAnsi="Times New Roman"/>
          <w:sz w:val="28"/>
        </w:rPr>
        <w:lastRenderedPageBreak/>
        <w:t xml:space="preserve">забезпечувати безперебійне, якісне та безпечне електропостачання для споживачів області. </w:t>
      </w:r>
      <w:r w:rsidRPr="005512BB">
        <w:rPr>
          <w:rFonts w:ascii="Times New Roman" w:hAnsi="Times New Roman"/>
          <w:sz w:val="28"/>
        </w:rPr>
        <w:tab/>
      </w:r>
    </w:p>
    <w:p w:rsidR="005512BB" w:rsidRPr="005512BB" w:rsidRDefault="005512BB" w:rsidP="005512BB">
      <w:pPr>
        <w:spacing w:after="0" w:line="240" w:lineRule="auto"/>
        <w:ind w:firstLine="709"/>
        <w:jc w:val="both"/>
        <w:rPr>
          <w:rFonts w:ascii="Times New Roman" w:hAnsi="Times New Roman"/>
          <w:sz w:val="28"/>
        </w:rPr>
      </w:pPr>
    </w:p>
    <w:p w:rsidR="005512BB" w:rsidRPr="005512BB" w:rsidRDefault="005512BB" w:rsidP="005512BB">
      <w:pPr>
        <w:spacing w:after="0" w:line="240" w:lineRule="auto"/>
        <w:ind w:firstLine="709"/>
        <w:jc w:val="both"/>
        <w:rPr>
          <w:rFonts w:ascii="Times New Roman" w:hAnsi="Times New Roman"/>
          <w:sz w:val="28"/>
        </w:rPr>
      </w:pPr>
      <w:r w:rsidRPr="005512BB">
        <w:rPr>
          <w:rFonts w:ascii="Times New Roman" w:hAnsi="Times New Roman"/>
          <w:sz w:val="28"/>
        </w:rPr>
        <w:t>Для споживачів електричної енергії впровадження стимулюючого регулювання дозволить забезпечити створення привабливого інвестиційного клімату для залучення приватних інвестицій, підвищення якості та надійності електропостачання та підвищення ефективності операційної діяльності Товариства шляхом зниження неефективних операційних витрат та повернення споживачам частини досягнутої вигоди (економії) у вигляді відповідного зниження тарифів.</w:t>
      </w:r>
    </w:p>
    <w:p w:rsidR="0019294B" w:rsidRPr="005512BB" w:rsidRDefault="0019294B" w:rsidP="005512BB">
      <w:pPr>
        <w:spacing w:after="0" w:line="240" w:lineRule="auto"/>
        <w:ind w:firstLine="709"/>
        <w:jc w:val="both"/>
        <w:rPr>
          <w:rFonts w:ascii="Times New Roman" w:hAnsi="Times New Roman"/>
          <w:sz w:val="28"/>
        </w:rPr>
      </w:pPr>
    </w:p>
    <w:p w:rsidR="005512BB" w:rsidRDefault="005512BB" w:rsidP="005512BB">
      <w:pPr>
        <w:spacing w:after="0" w:line="240" w:lineRule="auto"/>
        <w:ind w:firstLine="709"/>
        <w:jc w:val="both"/>
        <w:rPr>
          <w:rFonts w:ascii="Times New Roman" w:hAnsi="Times New Roman"/>
          <w:sz w:val="28"/>
        </w:rPr>
      </w:pPr>
      <w:r>
        <w:rPr>
          <w:rFonts w:ascii="Times New Roman" w:hAnsi="Times New Roman"/>
          <w:sz w:val="28"/>
        </w:rPr>
        <w:t>Для здійснення розрахунків тарифів застосовано макропоказники на 2018 рік по першому сценарію, затверджені постановою Кабінету Міністрів України від 31 травня 2017 року №441 «Про схвалення Прогнозу економічного і соціального розвитку України на 2018-2020 роки»</w:t>
      </w:r>
      <w:r w:rsidRPr="00462CA5">
        <w:rPr>
          <w:rFonts w:ascii="Times New Roman" w:hAnsi="Times New Roman"/>
          <w:sz w:val="28"/>
        </w:rPr>
        <w:t xml:space="preserve"> зі змінами  від 01.</w:t>
      </w:r>
      <w:r>
        <w:rPr>
          <w:rFonts w:ascii="Times New Roman" w:hAnsi="Times New Roman"/>
          <w:sz w:val="28"/>
        </w:rPr>
        <w:t>12.2017 року (Постанова КМУ №906), а також вимоги постанов НКРЕКП:</w:t>
      </w:r>
    </w:p>
    <w:p w:rsidR="005512BB" w:rsidRDefault="005512BB" w:rsidP="005512BB">
      <w:pPr>
        <w:spacing w:after="0" w:line="240" w:lineRule="auto"/>
        <w:ind w:firstLine="709"/>
        <w:jc w:val="both"/>
        <w:rPr>
          <w:rFonts w:ascii="Times New Roman" w:hAnsi="Times New Roman"/>
          <w:sz w:val="28"/>
        </w:rPr>
      </w:pPr>
    </w:p>
    <w:p w:rsidR="005512BB" w:rsidRPr="00824F5F" w:rsidRDefault="005512BB" w:rsidP="00824F5F">
      <w:pPr>
        <w:spacing w:after="0" w:line="240" w:lineRule="auto"/>
        <w:jc w:val="both"/>
        <w:rPr>
          <w:rFonts w:ascii="Times New Roman" w:hAnsi="Times New Roman"/>
          <w:sz w:val="28"/>
        </w:rPr>
      </w:pPr>
      <w:r w:rsidRPr="00824F5F">
        <w:rPr>
          <w:rFonts w:ascii="Times New Roman" w:hAnsi="Times New Roman"/>
          <w:sz w:val="28"/>
        </w:rPr>
        <w:t>від 11.07.2013 № 898 «Про затвердження Порядку визначення необхідного доходу від здійснення діяльності з постачання електричної енергії за регульованим тарифом у разі застосування стимулюючого регулювання»;</w:t>
      </w:r>
    </w:p>
    <w:p w:rsidR="00985D8F" w:rsidRDefault="00985D8F" w:rsidP="005512BB">
      <w:pPr>
        <w:spacing w:after="0" w:line="240" w:lineRule="auto"/>
        <w:ind w:firstLine="709"/>
        <w:jc w:val="both"/>
        <w:rPr>
          <w:rFonts w:ascii="Times New Roman" w:hAnsi="Times New Roman"/>
          <w:sz w:val="28"/>
        </w:rPr>
      </w:pPr>
    </w:p>
    <w:p w:rsidR="00985D8F" w:rsidRDefault="00985D8F" w:rsidP="00985D8F">
      <w:pPr>
        <w:spacing w:after="0" w:line="240" w:lineRule="auto"/>
        <w:jc w:val="both"/>
        <w:rPr>
          <w:rFonts w:ascii="Times New Roman" w:hAnsi="Times New Roman"/>
          <w:sz w:val="28"/>
        </w:rPr>
      </w:pPr>
      <w:bookmarkStart w:id="0" w:name="_GoBack"/>
      <w:bookmarkEnd w:id="0"/>
      <w:r>
        <w:rPr>
          <w:rFonts w:ascii="Times New Roman" w:hAnsi="Times New Roman"/>
          <w:sz w:val="28"/>
        </w:rPr>
        <w:t>- в</w:t>
      </w:r>
      <w:r w:rsidR="005512BB" w:rsidRPr="005512BB">
        <w:rPr>
          <w:rFonts w:ascii="Times New Roman" w:hAnsi="Times New Roman"/>
          <w:sz w:val="28"/>
        </w:rPr>
        <w:t>ід 11.07.2013 № 899 «Про затвердження Порядку визначення регуляторної бази активів суб’єктів природних монополій у сфері електроенергетики»;</w:t>
      </w:r>
      <w:r w:rsidR="005512BB" w:rsidRPr="005512BB">
        <w:rPr>
          <w:rFonts w:ascii="Times New Roman" w:hAnsi="Times New Roman"/>
          <w:sz w:val="28"/>
        </w:rPr>
        <w:br/>
      </w:r>
      <w:r w:rsidR="005512BB" w:rsidRPr="005512BB">
        <w:rPr>
          <w:rFonts w:ascii="Times New Roman" w:hAnsi="Times New Roman"/>
          <w:sz w:val="28"/>
        </w:rPr>
        <w:br/>
      </w:r>
      <w:r>
        <w:rPr>
          <w:rFonts w:ascii="Times New Roman" w:hAnsi="Times New Roman"/>
          <w:sz w:val="28"/>
        </w:rPr>
        <w:t xml:space="preserve">- </w:t>
      </w:r>
      <w:r w:rsidR="005512BB" w:rsidRPr="005512BB">
        <w:rPr>
          <w:rFonts w:ascii="Times New Roman" w:hAnsi="Times New Roman"/>
          <w:sz w:val="28"/>
        </w:rPr>
        <w:t>від 11.07.2013 № 900 «Про затвердження Порядку розрахунку роздрібних тарифів на електричну енергію, тарифів на передачу електричної енергії місцевими (локальними) електричними мережами, тарифів на постачання електричної енергії за регульованим тарифом у разі застосування стимулюючого регулювання»;</w:t>
      </w:r>
      <w:r w:rsidR="005512BB" w:rsidRPr="005512BB">
        <w:rPr>
          <w:rFonts w:ascii="Times New Roman" w:hAnsi="Times New Roman"/>
          <w:sz w:val="28"/>
        </w:rPr>
        <w:br/>
      </w:r>
      <w:r w:rsidR="005512BB" w:rsidRPr="005512BB">
        <w:rPr>
          <w:rFonts w:ascii="Times New Roman" w:hAnsi="Times New Roman"/>
          <w:sz w:val="28"/>
        </w:rPr>
        <w:br/>
      </w:r>
      <w:r>
        <w:rPr>
          <w:rFonts w:ascii="Times New Roman" w:hAnsi="Times New Roman"/>
          <w:sz w:val="28"/>
        </w:rPr>
        <w:t xml:space="preserve">- </w:t>
      </w:r>
      <w:r w:rsidR="005512BB" w:rsidRPr="005512BB">
        <w:rPr>
          <w:rFonts w:ascii="Times New Roman" w:hAnsi="Times New Roman"/>
          <w:sz w:val="28"/>
        </w:rPr>
        <w:t>від 23.07.2013 № 1009 «Про встановлення параметрів регулювання, що мають довгостроковий строк дії, для цілей стимулюючого регулювання»;</w:t>
      </w:r>
      <w:r w:rsidR="005512BB" w:rsidRPr="005512BB">
        <w:rPr>
          <w:rFonts w:ascii="Times New Roman" w:hAnsi="Times New Roman"/>
          <w:sz w:val="28"/>
        </w:rPr>
        <w:br/>
      </w:r>
      <w:r w:rsidR="005512BB" w:rsidRPr="005512BB">
        <w:rPr>
          <w:rFonts w:ascii="Times New Roman" w:hAnsi="Times New Roman"/>
          <w:sz w:val="28"/>
        </w:rPr>
        <w:br/>
      </w:r>
      <w:r>
        <w:rPr>
          <w:rFonts w:ascii="Times New Roman" w:hAnsi="Times New Roman"/>
          <w:sz w:val="28"/>
        </w:rPr>
        <w:t xml:space="preserve">- </w:t>
      </w:r>
      <w:r w:rsidR="005512BB" w:rsidRPr="005512BB">
        <w:rPr>
          <w:rFonts w:ascii="Times New Roman" w:hAnsi="Times New Roman"/>
          <w:sz w:val="28"/>
        </w:rPr>
        <w:t>від 26.07.2013 № 1029 «Про застосування стимулюючого регулювання у сфері передачі електричної енергії місцевими (локальними) електричними мережами»;</w:t>
      </w:r>
      <w:r w:rsidR="005512BB" w:rsidRPr="005512BB">
        <w:rPr>
          <w:rFonts w:ascii="Times New Roman" w:hAnsi="Times New Roman"/>
          <w:sz w:val="28"/>
        </w:rPr>
        <w:br/>
      </w:r>
      <w:r w:rsidR="005512BB" w:rsidRPr="005512BB">
        <w:rPr>
          <w:rFonts w:ascii="Times New Roman" w:hAnsi="Times New Roman"/>
          <w:sz w:val="28"/>
        </w:rPr>
        <w:br/>
      </w:r>
      <w:r>
        <w:rPr>
          <w:rFonts w:ascii="Times New Roman" w:hAnsi="Times New Roman"/>
          <w:sz w:val="28"/>
        </w:rPr>
        <w:t xml:space="preserve">- </w:t>
      </w:r>
      <w:r w:rsidR="005512BB" w:rsidRPr="005512BB">
        <w:rPr>
          <w:rFonts w:ascii="Times New Roman" w:hAnsi="Times New Roman"/>
          <w:sz w:val="28"/>
        </w:rPr>
        <w:t>від 26.07.2013 № 1031 «Про затвердження Порядку розподілу активів, витрат та доходів між видами діяльності ліцензіатів з постачання електричної енергії за регульованим тарифом та/або з передачі електричної енергії місцевими (локальними) електромережами»;</w:t>
      </w:r>
      <w:r w:rsidR="005512BB" w:rsidRPr="005512BB">
        <w:rPr>
          <w:rFonts w:ascii="Times New Roman" w:hAnsi="Times New Roman"/>
          <w:sz w:val="28"/>
        </w:rPr>
        <w:br/>
      </w:r>
    </w:p>
    <w:p w:rsidR="005512BB" w:rsidRPr="005512BB" w:rsidRDefault="00985D8F" w:rsidP="00985D8F">
      <w:pPr>
        <w:spacing w:after="0" w:line="240" w:lineRule="auto"/>
        <w:jc w:val="both"/>
        <w:rPr>
          <w:rFonts w:ascii="Times New Roman" w:hAnsi="Times New Roman"/>
          <w:sz w:val="28"/>
        </w:rPr>
      </w:pPr>
      <w:r>
        <w:rPr>
          <w:rFonts w:ascii="Times New Roman" w:hAnsi="Times New Roman"/>
          <w:sz w:val="28"/>
        </w:rPr>
        <w:t xml:space="preserve">- </w:t>
      </w:r>
      <w:r w:rsidR="005512BB" w:rsidRPr="005512BB">
        <w:rPr>
          <w:rFonts w:ascii="Times New Roman" w:hAnsi="Times New Roman"/>
          <w:sz w:val="28"/>
        </w:rPr>
        <w:t xml:space="preserve">від 26.07.2013 № 1030 «Про затвердження Процедури встановлення тарифів для ліцензіатів з постачання електричної енергії за регульованим тарифом </w:t>
      </w:r>
      <w:r w:rsidR="005512BB" w:rsidRPr="005512BB">
        <w:rPr>
          <w:rFonts w:ascii="Times New Roman" w:hAnsi="Times New Roman"/>
          <w:sz w:val="28"/>
        </w:rPr>
        <w:lastRenderedPageBreak/>
        <w:t>та/або з передачі електричної енергії місцевими (локальними) електричними мережами у разі застосування стимулюючого регулювання»;</w:t>
      </w:r>
      <w:r w:rsidR="005512BB" w:rsidRPr="005512BB">
        <w:rPr>
          <w:rFonts w:ascii="Times New Roman" w:hAnsi="Times New Roman"/>
          <w:sz w:val="28"/>
        </w:rPr>
        <w:br/>
      </w:r>
      <w:r w:rsidR="005512BB" w:rsidRPr="005512BB">
        <w:rPr>
          <w:rFonts w:ascii="Times New Roman" w:hAnsi="Times New Roman"/>
          <w:sz w:val="28"/>
        </w:rPr>
        <w:br/>
      </w:r>
      <w:r>
        <w:rPr>
          <w:rFonts w:ascii="Times New Roman" w:hAnsi="Times New Roman"/>
          <w:sz w:val="28"/>
        </w:rPr>
        <w:t xml:space="preserve">- </w:t>
      </w:r>
      <w:r w:rsidR="005512BB" w:rsidRPr="005512BB">
        <w:rPr>
          <w:rFonts w:ascii="Times New Roman" w:hAnsi="Times New Roman"/>
          <w:sz w:val="28"/>
        </w:rPr>
        <w:t>від 26.07.2013 № 1032 «Про затвердження Порядку визначення необхідного доходу від здійснення діяльності з передачі електричної енергії місцевими (локальними) електричними мережами у разі застосування стимулюючого регулювання»;</w:t>
      </w:r>
    </w:p>
    <w:p w:rsidR="00985D8F" w:rsidRDefault="00985D8F" w:rsidP="00824F5F">
      <w:pPr>
        <w:spacing w:after="0" w:line="240" w:lineRule="auto"/>
        <w:jc w:val="both"/>
        <w:rPr>
          <w:rFonts w:ascii="Times New Roman" w:hAnsi="Times New Roman"/>
          <w:sz w:val="28"/>
        </w:rPr>
      </w:pPr>
    </w:p>
    <w:p w:rsidR="005512BB" w:rsidRPr="005512BB" w:rsidRDefault="00985D8F" w:rsidP="00824F5F">
      <w:pPr>
        <w:spacing w:after="0" w:line="240" w:lineRule="auto"/>
        <w:jc w:val="both"/>
        <w:rPr>
          <w:rFonts w:ascii="Times New Roman" w:hAnsi="Times New Roman"/>
          <w:sz w:val="28"/>
        </w:rPr>
      </w:pPr>
      <w:r>
        <w:rPr>
          <w:rFonts w:ascii="Times New Roman" w:hAnsi="Times New Roman"/>
          <w:sz w:val="28"/>
        </w:rPr>
        <w:t xml:space="preserve">- </w:t>
      </w:r>
      <w:r w:rsidR="005512BB" w:rsidRPr="005512BB">
        <w:rPr>
          <w:rFonts w:ascii="Times New Roman" w:hAnsi="Times New Roman"/>
          <w:sz w:val="28"/>
        </w:rPr>
        <w:t>від 15.08.2013 № 1109 «Про затвердження Методичних рекомендацій щодо плану роботи ліцензіатів з постачання електричної енергії за регульованим тарифом та/або з передачі електричної енергії місцевими (локальними) електричними мережами з підготовки до переходу до стимулюючого регулювання».</w:t>
      </w:r>
    </w:p>
    <w:p w:rsidR="005512BB" w:rsidRPr="005512BB" w:rsidRDefault="005512BB" w:rsidP="005512BB">
      <w:pPr>
        <w:spacing w:after="0" w:line="240" w:lineRule="auto"/>
        <w:ind w:firstLine="709"/>
        <w:jc w:val="both"/>
        <w:rPr>
          <w:rFonts w:ascii="Times New Roman" w:hAnsi="Times New Roman"/>
          <w:sz w:val="28"/>
        </w:rPr>
      </w:pPr>
    </w:p>
    <w:sectPr w:rsidR="005512BB" w:rsidRPr="00551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27A44"/>
    <w:multiLevelType w:val="hybridMultilevel"/>
    <w:tmpl w:val="48B83DFE"/>
    <w:lvl w:ilvl="0" w:tplc="00F29602">
      <w:start w:val="17"/>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BB"/>
    <w:rsid w:val="000E20D0"/>
    <w:rsid w:val="0019294B"/>
    <w:rsid w:val="005512BB"/>
    <w:rsid w:val="00824F5F"/>
    <w:rsid w:val="00985D8F"/>
    <w:rsid w:val="00C42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BB"/>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12BB"/>
    <w:rPr>
      <w:b/>
      <w:bCs/>
    </w:rPr>
  </w:style>
  <w:style w:type="paragraph" w:styleId="a4">
    <w:name w:val="Normal (Web)"/>
    <w:basedOn w:val="a"/>
    <w:uiPriority w:val="99"/>
    <w:semiHidden/>
    <w:unhideWhenUsed/>
    <w:rsid w:val="005512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512BB"/>
  </w:style>
  <w:style w:type="paragraph" w:styleId="a5">
    <w:name w:val="List Paragraph"/>
    <w:basedOn w:val="a"/>
    <w:uiPriority w:val="34"/>
    <w:qFormat/>
    <w:rsid w:val="005512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BB"/>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12BB"/>
    <w:rPr>
      <w:b/>
      <w:bCs/>
    </w:rPr>
  </w:style>
  <w:style w:type="paragraph" w:styleId="a4">
    <w:name w:val="Normal (Web)"/>
    <w:basedOn w:val="a"/>
    <w:uiPriority w:val="99"/>
    <w:semiHidden/>
    <w:unhideWhenUsed/>
    <w:rsid w:val="005512B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512BB"/>
  </w:style>
  <w:style w:type="paragraph" w:styleId="a5">
    <w:name w:val="List Paragraph"/>
    <w:basedOn w:val="a"/>
    <w:uiPriority w:val="34"/>
    <w:qFormat/>
    <w:rsid w:val="00551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79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Заровна Катерина Георгіївна</dc:creator>
  <cp:lastModifiedBy>Заровна Катерина Георгіївна</cp:lastModifiedBy>
  <cp:revision>4</cp:revision>
  <dcterms:created xsi:type="dcterms:W3CDTF">2018-01-18T13:50:00Z</dcterms:created>
  <dcterms:modified xsi:type="dcterms:W3CDTF">2018-01-18T14:30:00Z</dcterms:modified>
</cp:coreProperties>
</file>