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5C45" w:rsidRDefault="00CA202B">
      <w:pPr>
        <w:pStyle w:val="a3"/>
        <w:jc w:val="center"/>
      </w:pPr>
      <w:r>
        <w:fldChar w:fldCharType="begin"/>
      </w:r>
      <w:r>
        <w:instrText xml:space="preserve"> INCLUDEPICTURE "C:\\Documents and Settings\\o.tututchenko\\Application Data\\Liga70\\Client\\Session\\TSIGN.GIF" \* MERGEFORMAT \d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C:\Documents and Settings\o.tututchenko\Application Data\Liga70\Client\Session\TSIGN.GIF" style="width:52.5pt;height:1in;visibility:visible">
            <v:imagedata r:id="rId4"/>
          </v:shape>
        </w:pict>
      </w:r>
      <w:r>
        <w:fldChar w:fldCharType="end"/>
      </w:r>
    </w:p>
    <w:p w:rsidR="00345C45" w:rsidRDefault="00345C45">
      <w:pPr>
        <w:pStyle w:val="2"/>
        <w:jc w:val="center"/>
      </w:pPr>
      <w:r>
        <w:t>НАЦІОНАЛЬНА КОМІСІЯ, ЩО ЗДІЙСНЮЄ ДЕРЖАВНЕ РЕГУЛЮВАННЯ У СФЕРІ ЕНЕРГЕТИКИ</w:t>
      </w:r>
    </w:p>
    <w:p w:rsidR="00345C45" w:rsidRDefault="00345C45">
      <w:pPr>
        <w:pStyle w:val="2"/>
        <w:jc w:val="center"/>
      </w:pPr>
      <w:r>
        <w:t>ПОСТАНОВА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31"/>
        <w:gridCol w:w="2842"/>
        <w:gridCol w:w="3330"/>
      </w:tblGrid>
      <w:tr w:rsidR="00345C45">
        <w:trPr>
          <w:tblCellSpacing w:w="22" w:type="dxa"/>
        </w:trPr>
        <w:tc>
          <w:tcPr>
            <w:tcW w:w="1750" w:type="pct"/>
            <w:hideMark/>
          </w:tcPr>
          <w:p w:rsidR="00345C45" w:rsidRPr="00CA202B" w:rsidRDefault="00345C45">
            <w:pPr>
              <w:pStyle w:val="a3"/>
              <w:jc w:val="center"/>
            </w:pPr>
            <w:r w:rsidRPr="00CA202B">
              <w:rPr>
                <w:b/>
                <w:bCs/>
              </w:rPr>
              <w:t>23.07.2013</w:t>
            </w:r>
          </w:p>
        </w:tc>
        <w:tc>
          <w:tcPr>
            <w:tcW w:w="1500" w:type="pct"/>
            <w:hideMark/>
          </w:tcPr>
          <w:p w:rsidR="00345C45" w:rsidRPr="00CA202B" w:rsidRDefault="00345C45">
            <w:pPr>
              <w:pStyle w:val="a3"/>
              <w:jc w:val="center"/>
            </w:pPr>
            <w:r w:rsidRPr="00CA202B">
              <w:rPr>
                <w:b/>
                <w:bCs/>
              </w:rPr>
              <w:t>м. Київ</w:t>
            </w:r>
          </w:p>
        </w:tc>
        <w:tc>
          <w:tcPr>
            <w:tcW w:w="1750" w:type="pct"/>
            <w:hideMark/>
          </w:tcPr>
          <w:p w:rsidR="00345C45" w:rsidRPr="00CA202B" w:rsidRDefault="00345C45">
            <w:pPr>
              <w:pStyle w:val="a3"/>
              <w:jc w:val="center"/>
            </w:pPr>
            <w:r w:rsidRPr="00CA202B">
              <w:rPr>
                <w:b/>
                <w:bCs/>
              </w:rPr>
              <w:t>N 1009</w:t>
            </w:r>
          </w:p>
        </w:tc>
      </w:tr>
    </w:tbl>
    <w:p w:rsidR="00345C45" w:rsidRDefault="00345C45">
      <w:r>
        <w:br w:type="textWrapping" w:clear="all"/>
      </w:r>
    </w:p>
    <w:p w:rsidR="00345C45" w:rsidRPr="00CA202B" w:rsidRDefault="00345C45">
      <w:pPr>
        <w:pStyle w:val="a3"/>
        <w:jc w:val="center"/>
      </w:pPr>
      <w:r>
        <w:rPr>
          <w:b/>
          <w:bCs/>
        </w:rPr>
        <w:t>Зареєстровано в Міністерстві юстиції України</w:t>
      </w:r>
      <w:r>
        <w:br/>
      </w:r>
      <w:r>
        <w:rPr>
          <w:b/>
          <w:bCs/>
        </w:rPr>
        <w:t>26 липня 2013 р. за N 1266/23798</w:t>
      </w:r>
    </w:p>
    <w:p w:rsidR="00345C45" w:rsidRDefault="00345C45">
      <w:pPr>
        <w:pStyle w:val="2"/>
        <w:jc w:val="center"/>
      </w:pPr>
      <w:r>
        <w:t>Про встановлення параметрів регулювання, що мають довгостроковий строк дії, для цілей стимулюючого регулювання</w:t>
      </w:r>
    </w:p>
    <w:p w:rsidR="00345C45" w:rsidRPr="00CA202B" w:rsidRDefault="00345C45">
      <w:pPr>
        <w:pStyle w:val="a3"/>
        <w:jc w:val="center"/>
      </w:pPr>
      <w:r>
        <w:t>Із змінами і доповненнями, внесеними</w:t>
      </w:r>
      <w:r>
        <w:br/>
        <w:t> постановою Національної комісії, що здійснює державне регулювання у сфері енергетики,</w:t>
      </w:r>
      <w:r>
        <w:br/>
        <w:t> від 5 листопада 2013 року N 1405,</w:t>
      </w:r>
      <w:r>
        <w:br/>
        <w:t>постановами Національної комісії, що здійснює державне регулювання</w:t>
      </w:r>
      <w:r>
        <w:br/>
        <w:t>у сферах енергетики та комунальних послуг,</w:t>
      </w:r>
      <w:r>
        <w:br/>
        <w:t> від 8 жовтня 2015 року N 2561,</w:t>
      </w:r>
      <w:r>
        <w:br/>
        <w:t>від 27 липня 2017 року N 972</w:t>
      </w:r>
    </w:p>
    <w:p w:rsidR="00345C45" w:rsidRDefault="00345C45">
      <w:pPr>
        <w:pStyle w:val="a3"/>
        <w:jc w:val="both"/>
      </w:pPr>
      <w:r>
        <w:t xml:space="preserve">Відповідно до </w:t>
      </w:r>
      <w:r>
        <w:rPr>
          <w:color w:val="0000FF"/>
        </w:rPr>
        <w:t>статті 12 Закону України "Про електроенергетику"</w:t>
      </w:r>
      <w:r>
        <w:t xml:space="preserve">, </w:t>
      </w:r>
      <w:r>
        <w:rPr>
          <w:color w:val="0000FF"/>
        </w:rPr>
        <w:t>статті 13 Закону України "Про природні монополії"</w:t>
      </w:r>
      <w:r>
        <w:t xml:space="preserve">, </w:t>
      </w:r>
      <w:r>
        <w:rPr>
          <w:color w:val="0000FF"/>
        </w:rPr>
        <w:t>Указів Президента України від 23 листопада 2011 року N 1059 "Про Національну комісію, що здійснює державне регулювання у сфері енергетики"</w:t>
      </w:r>
      <w:r>
        <w:t xml:space="preserve"> та </w:t>
      </w:r>
      <w:r>
        <w:rPr>
          <w:color w:val="0000FF"/>
        </w:rPr>
        <w:t>від 12 березня 2013 року N 128 "Про Національний план дій на 2013 рік щодо впровадження Програми економічних реформ на 2010 - 2014 роки "Заможне суспільство, конкурентоспроможна економіка, ефективна держава"</w:t>
      </w:r>
      <w:r>
        <w:t xml:space="preserve"> Національна комісія, що здійснює державне регулювання у сфері енергетики,</w:t>
      </w:r>
    </w:p>
    <w:p w:rsidR="00345C45" w:rsidRDefault="00345C45">
      <w:pPr>
        <w:pStyle w:val="a3"/>
        <w:jc w:val="both"/>
      </w:pPr>
      <w:r>
        <w:rPr>
          <w:b/>
          <w:bCs/>
        </w:rPr>
        <w:t>ПОСТАНОВЛЯЄ:</w:t>
      </w:r>
    </w:p>
    <w:p w:rsidR="00345C45" w:rsidRDefault="00345C45">
      <w:pPr>
        <w:pStyle w:val="a3"/>
        <w:jc w:val="both"/>
      </w:pPr>
      <w:r>
        <w:t xml:space="preserve">1. Встановити на перший регуляторний період (3 роки) параметри регулювання, що мають довгостроковий строк дії, для цілей стимулюючого регулювання для суб'єктів господарювання, які здійснюють господарську діяльність на підставі ліцензії на здійснення діяльності з передачі електричної енергії місцевими (локальними) електричними мережами, та суб'єктів господарювання, які здійснюють господарську діяльність на підставі ліцензії на здійснення діяльності з передачі електричної енергії </w:t>
      </w:r>
      <w:r>
        <w:lastRenderedPageBreak/>
        <w:t>місцевими (локальними) електричними мережами та ліцензії на здійснення діяльності з постачання електричної енергії за регульованим тарифом (далі - ліцензіати), на рівні:</w:t>
      </w:r>
    </w:p>
    <w:p w:rsidR="00345C45" w:rsidRDefault="00345C45">
      <w:pPr>
        <w:pStyle w:val="a3"/>
        <w:jc w:val="both"/>
      </w:pPr>
      <w:r>
        <w:t>1) регуляторна норма доходу на регуляторну базу активів, яка створена на дату переходу до стимулюючого регулювання, - 0,125 відносних одиниць;</w:t>
      </w:r>
    </w:p>
    <w:p w:rsidR="00345C45" w:rsidRDefault="00345C45">
      <w:pPr>
        <w:pStyle w:val="a3"/>
        <w:jc w:val="right"/>
      </w:pPr>
      <w:r>
        <w:t>(підпункт 1 пункту 1 із змінами, внесеними згідно з постановою</w:t>
      </w:r>
      <w:r>
        <w:br/>
        <w:t> Національної комісії, що здійснює державне регулювання</w:t>
      </w:r>
      <w:r>
        <w:br/>
        <w:t> у сфері енергетики, від 05.11.2013 р. N 1405,</w:t>
      </w:r>
      <w:r>
        <w:br/>
        <w:t> постановою Національної комісії, що здійснює державне</w:t>
      </w:r>
      <w:r>
        <w:br/>
        <w:t> регулювання у сферах енергетики та комунальних послуг,</w:t>
      </w:r>
      <w:r>
        <w:br/>
        <w:t> від 08.10.2015 р. N 2561,</w:t>
      </w:r>
      <w:r>
        <w:br/>
        <w:t>у редакції постанови Національної комісії, що здійснює державне</w:t>
      </w:r>
      <w:r>
        <w:br/>
        <w:t> регулювання у сферах енергетики та комунальних послуг,</w:t>
      </w:r>
      <w:r>
        <w:br/>
        <w:t> від 27.07.2017 р. N 972)</w:t>
      </w:r>
    </w:p>
    <w:p w:rsidR="00345C45" w:rsidRDefault="00345C45">
      <w:pPr>
        <w:pStyle w:val="a3"/>
        <w:jc w:val="both"/>
      </w:pPr>
      <w:r>
        <w:t>2) регуляторна норма доходу на регуляторну базу активів, яка створена після переходу на стимулююче регулювання, - 0,125 відносних одиниць;</w:t>
      </w:r>
    </w:p>
    <w:p w:rsidR="00345C45" w:rsidRDefault="00345C45">
      <w:pPr>
        <w:pStyle w:val="a3"/>
        <w:jc w:val="right"/>
      </w:pPr>
      <w:r>
        <w:t>(підпункт 2 пункту 1 у редакції постанови Національної комісії,</w:t>
      </w:r>
      <w:r>
        <w:br/>
        <w:t> що здійснює державне регулювання у сферах енергетики</w:t>
      </w:r>
      <w:r>
        <w:br/>
        <w:t> та комунальних послуг, від 27.07.2017 р. N 972)</w:t>
      </w:r>
    </w:p>
    <w:p w:rsidR="00345C45" w:rsidRDefault="00345C45">
      <w:pPr>
        <w:pStyle w:val="a3"/>
        <w:jc w:val="both"/>
      </w:pPr>
      <w:r>
        <w:t>3) загальний показник ефективності на перший рік першого регуляторного періоду - 0 %, на другий та третій роки першого регуляторного періоду - 1 %;</w:t>
      </w:r>
    </w:p>
    <w:p w:rsidR="00345C45" w:rsidRDefault="00345C45">
      <w:pPr>
        <w:pStyle w:val="a3"/>
        <w:jc w:val="right"/>
      </w:pPr>
      <w:r>
        <w:t>(підпункт 3 пункту 1 у редакції постанови Національної</w:t>
      </w:r>
      <w:r>
        <w:br/>
        <w:t>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4) індивідуальний показник ефективності - 0 %;</w:t>
      </w:r>
    </w:p>
    <w:p w:rsidR="00345C45" w:rsidRDefault="00345C45">
      <w:pPr>
        <w:pStyle w:val="a3"/>
        <w:jc w:val="both"/>
      </w:pPr>
      <w:r>
        <w:t>5) показник ефективності технологічних витрат електроенергії на 1 класі напруги - 0,01 відносних одиниць;</w:t>
      </w:r>
    </w:p>
    <w:p w:rsidR="00345C45" w:rsidRDefault="00345C45">
      <w:pPr>
        <w:pStyle w:val="a3"/>
        <w:jc w:val="both"/>
      </w:pPr>
      <w:r>
        <w:t>6) показник ефективності технологічних витрат електроенергії на 2 класі напруги - 0,035 відносних одиниць;</w:t>
      </w:r>
    </w:p>
    <w:p w:rsidR="00345C45" w:rsidRDefault="00345C45">
      <w:pPr>
        <w:pStyle w:val="a3"/>
        <w:jc w:val="both"/>
      </w:pPr>
      <w:r>
        <w:t>7) цільовий показник якості послуг для міської території - 150 хвилин;</w:t>
      </w:r>
    </w:p>
    <w:p w:rsidR="00345C45" w:rsidRDefault="00345C45">
      <w:pPr>
        <w:pStyle w:val="a3"/>
        <w:jc w:val="right"/>
      </w:pPr>
      <w:r>
        <w:t>(підпункт 7 пункту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8) цільовий показник якості послуг для сільської території - 300 хвилин;</w:t>
      </w:r>
    </w:p>
    <w:p w:rsidR="00345C45" w:rsidRDefault="00345C45">
      <w:pPr>
        <w:pStyle w:val="a3"/>
        <w:jc w:val="right"/>
      </w:pPr>
      <w:r>
        <w:t>(підпункт 8 пункту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9) параметр коригування необхідного доходу за недотримання цільового показника якості послуг для міської території - 5 відносні одиниці;</w:t>
      </w:r>
    </w:p>
    <w:p w:rsidR="00345C45" w:rsidRDefault="00345C45">
      <w:pPr>
        <w:pStyle w:val="a3"/>
        <w:jc w:val="right"/>
      </w:pPr>
      <w:r>
        <w:lastRenderedPageBreak/>
        <w:t>(підпункт 9 пункту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10) параметр коригування необхідного доходу за недотримання цільового показника якості послуг для сільської території - 5 відносні одиниці;</w:t>
      </w:r>
    </w:p>
    <w:p w:rsidR="00345C45" w:rsidRDefault="00345C45">
      <w:pPr>
        <w:pStyle w:val="a3"/>
        <w:jc w:val="right"/>
      </w:pPr>
      <w:r>
        <w:t>(підпункт 10 пункту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11) рік з початку переходу на стимулююче регулювання, у якому має бути досягнуто встановлений цільовий показник якості послуг, - 8-й рік;</w:t>
      </w:r>
    </w:p>
    <w:p w:rsidR="00345C45" w:rsidRDefault="00345C45">
      <w:pPr>
        <w:pStyle w:val="a3"/>
        <w:jc w:val="right"/>
      </w:pPr>
      <w:r>
        <w:t>(підпункт 11 пункту 1 із змінами, внесеними згідно з постановою</w:t>
      </w:r>
      <w:r>
        <w:br/>
        <w:t> Національної комісії, що здійснює державне регулювання у сферах</w:t>
      </w:r>
      <w:r>
        <w:br/>
        <w:t> енергетики та комунальних послуг, від 08.10.2015 р. N 2561)</w:t>
      </w:r>
    </w:p>
    <w:p w:rsidR="00345C45" w:rsidRDefault="00345C45">
      <w:pPr>
        <w:pStyle w:val="a3"/>
        <w:jc w:val="both"/>
      </w:pPr>
      <w:r>
        <w:t>12) коефіцієнт поправки на зміну кількості умовних одиниць обладнання - 0,7 відносних одиниць;</w:t>
      </w:r>
    </w:p>
    <w:p w:rsidR="00345C45" w:rsidRDefault="00345C45">
      <w:pPr>
        <w:pStyle w:val="a3"/>
        <w:jc w:val="both"/>
      </w:pPr>
      <w:r>
        <w:t>13) коефіцієнт поправки на зміну кількості споживачів електричної енергії - 0,7 відносних одиниць.</w:t>
      </w:r>
    </w:p>
    <w:p w:rsidR="00345C45" w:rsidRDefault="00345C45">
      <w:pPr>
        <w:pStyle w:val="a3"/>
        <w:jc w:val="both"/>
      </w:pPr>
      <w:r>
        <w:t>2. Пункт 2 виключено</w:t>
      </w:r>
    </w:p>
    <w:p w:rsidR="00345C45" w:rsidRDefault="00345C45">
      <w:pPr>
        <w:pStyle w:val="a3"/>
        <w:jc w:val="right"/>
      </w:pPr>
      <w:r>
        <w:t>(пункт 2 із змінами, внесеними згідно з постановою Національної</w:t>
      </w:r>
      <w:r>
        <w:br/>
        <w:t> комісії, що здійснює державне регулювання у сфері енергетики,</w:t>
      </w:r>
      <w:r>
        <w:br/>
        <w:t> від 05.11.2013 р. N 1405,</w:t>
      </w:r>
      <w:r>
        <w:br/>
        <w:t> виключено згідно з постановою Національної комісії,</w:t>
      </w:r>
      <w:r>
        <w:br/>
        <w:t> що здійснює державне регулювання у сферах енергетики</w:t>
      </w:r>
      <w:r>
        <w:br/>
        <w:t> та комунальних послуг, від 08.10.2015 р. N 2561,</w:t>
      </w:r>
      <w:r>
        <w:br/>
        <w:t> у зв'язку з цим пункти 3, 4 вважати відповідно пунктами 2, 3)</w:t>
      </w:r>
    </w:p>
    <w:p w:rsidR="00345C45" w:rsidRDefault="00345C45">
      <w:pPr>
        <w:pStyle w:val="a3"/>
        <w:jc w:val="both"/>
      </w:pPr>
      <w:r>
        <w:t>2. Управлінню цінової політики в електроенергетиці подати цю постанову на державну реєстрацію до Міністерства юстиції України в установленому законодавством порядку.</w:t>
      </w:r>
    </w:p>
    <w:p w:rsidR="00345C45" w:rsidRDefault="00345C45">
      <w:pPr>
        <w:pStyle w:val="a3"/>
        <w:jc w:val="both"/>
      </w:pPr>
      <w:r>
        <w:t>3. Ця постанова набирає чинності з дня її офіційного опублікування.</w:t>
      </w:r>
    </w:p>
    <w:p w:rsidR="00345C45" w:rsidRDefault="00345C45">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345C45">
        <w:trPr>
          <w:tblCellSpacing w:w="22" w:type="dxa"/>
        </w:trPr>
        <w:tc>
          <w:tcPr>
            <w:tcW w:w="2500" w:type="pct"/>
            <w:vAlign w:val="bottom"/>
            <w:hideMark/>
          </w:tcPr>
          <w:p w:rsidR="00345C45" w:rsidRPr="00CA202B" w:rsidRDefault="00345C45">
            <w:pPr>
              <w:pStyle w:val="a3"/>
              <w:jc w:val="center"/>
            </w:pPr>
            <w:r w:rsidRPr="00CA202B">
              <w:rPr>
                <w:b/>
                <w:bCs/>
              </w:rPr>
              <w:t>В. о. Голови Комісії</w:t>
            </w:r>
          </w:p>
        </w:tc>
        <w:tc>
          <w:tcPr>
            <w:tcW w:w="2500" w:type="pct"/>
            <w:vAlign w:val="bottom"/>
            <w:hideMark/>
          </w:tcPr>
          <w:p w:rsidR="00345C45" w:rsidRPr="00CA202B" w:rsidRDefault="00345C45">
            <w:pPr>
              <w:pStyle w:val="a3"/>
              <w:jc w:val="center"/>
            </w:pPr>
            <w:r w:rsidRPr="00CA202B">
              <w:rPr>
                <w:b/>
                <w:bCs/>
              </w:rPr>
              <w:t>О. Рогозін</w:t>
            </w:r>
          </w:p>
        </w:tc>
      </w:tr>
      <w:tr w:rsidR="00345C45">
        <w:trPr>
          <w:tblCellSpacing w:w="22" w:type="dxa"/>
        </w:trPr>
        <w:tc>
          <w:tcPr>
            <w:tcW w:w="2500" w:type="pct"/>
            <w:vAlign w:val="bottom"/>
            <w:hideMark/>
          </w:tcPr>
          <w:p w:rsidR="00345C45" w:rsidRPr="00CA202B" w:rsidRDefault="00345C45">
            <w:pPr>
              <w:pStyle w:val="a3"/>
              <w:jc w:val="center"/>
            </w:pPr>
            <w:r w:rsidRPr="00CA202B">
              <w:rPr>
                <w:b/>
                <w:bCs/>
              </w:rPr>
              <w:t>ПОГОДЖЕНО:</w:t>
            </w:r>
          </w:p>
        </w:tc>
        <w:tc>
          <w:tcPr>
            <w:tcW w:w="2500" w:type="pct"/>
            <w:vAlign w:val="bottom"/>
            <w:hideMark/>
          </w:tcPr>
          <w:p w:rsidR="00345C45" w:rsidRPr="00CA202B" w:rsidRDefault="00345C45">
            <w:pPr>
              <w:pStyle w:val="a3"/>
              <w:jc w:val="center"/>
            </w:pPr>
            <w:r w:rsidRPr="00CA202B">
              <w:t> </w:t>
            </w:r>
          </w:p>
        </w:tc>
      </w:tr>
      <w:tr w:rsidR="00345C45">
        <w:trPr>
          <w:tblCellSpacing w:w="22" w:type="dxa"/>
        </w:trPr>
        <w:tc>
          <w:tcPr>
            <w:tcW w:w="2500" w:type="pct"/>
            <w:vAlign w:val="bottom"/>
            <w:hideMark/>
          </w:tcPr>
          <w:p w:rsidR="00345C45" w:rsidRPr="00CA202B" w:rsidRDefault="00345C45">
            <w:pPr>
              <w:pStyle w:val="a3"/>
              <w:jc w:val="center"/>
            </w:pPr>
            <w:r w:rsidRPr="00CA202B">
              <w:rPr>
                <w:b/>
                <w:bCs/>
              </w:rPr>
              <w:t>Голова Державної служби України</w:t>
            </w:r>
            <w:r w:rsidRPr="00CA202B">
              <w:br/>
            </w:r>
            <w:r w:rsidRPr="00CA202B">
              <w:rPr>
                <w:b/>
                <w:bCs/>
              </w:rPr>
              <w:t>з питань регуляторної політики</w:t>
            </w:r>
            <w:r w:rsidRPr="00CA202B">
              <w:br/>
            </w:r>
            <w:r w:rsidRPr="00CA202B">
              <w:rPr>
                <w:b/>
                <w:bCs/>
              </w:rPr>
              <w:t>та розвитку підприємництва</w:t>
            </w:r>
          </w:p>
        </w:tc>
        <w:tc>
          <w:tcPr>
            <w:tcW w:w="2500" w:type="pct"/>
            <w:vAlign w:val="bottom"/>
            <w:hideMark/>
          </w:tcPr>
          <w:p w:rsidR="00345C45" w:rsidRPr="00CA202B" w:rsidRDefault="00345C45">
            <w:pPr>
              <w:pStyle w:val="a3"/>
              <w:jc w:val="center"/>
            </w:pPr>
            <w:r w:rsidRPr="00CA202B">
              <w:rPr>
                <w:b/>
                <w:bCs/>
              </w:rPr>
              <w:t>М. Ю. Бродський</w:t>
            </w:r>
          </w:p>
        </w:tc>
      </w:tr>
    </w:tbl>
    <w:p w:rsidR="00345C45" w:rsidRDefault="00345C45">
      <w:pPr>
        <w:pStyle w:val="a3"/>
        <w:jc w:val="both"/>
      </w:pPr>
      <w:r>
        <w:br w:type="textWrapping" w:clear="all"/>
      </w:r>
    </w:p>
    <w:p w:rsidR="00345C45" w:rsidRDefault="00345C45">
      <w:pPr>
        <w:pStyle w:val="a3"/>
        <w:jc w:val="both"/>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75"/>
        <w:gridCol w:w="1170"/>
      </w:tblGrid>
      <w:tr w:rsidR="00345C45">
        <w:trPr>
          <w:tblCellSpacing w:w="15" w:type="dxa"/>
        </w:trPr>
        <w:tc>
          <w:tcPr>
            <w:tcW w:w="4500" w:type="pct"/>
            <w:vAlign w:val="center"/>
            <w:hideMark/>
          </w:tcPr>
          <w:p w:rsidR="00345C45" w:rsidRDefault="00345C45">
            <w:r>
              <w:t>© ТОВ "Інформаційно-аналітичний центр "ЛІГА", 2018</w:t>
            </w:r>
            <w:r>
              <w:br/>
              <w:t>© ТОВ "ЛІГА ЗАКОН", 2018</w:t>
            </w:r>
          </w:p>
        </w:tc>
        <w:tc>
          <w:tcPr>
            <w:tcW w:w="500" w:type="pct"/>
            <w:vAlign w:val="center"/>
            <w:hideMark/>
          </w:tcPr>
          <w:p w:rsidR="00345C45" w:rsidRDefault="00CA202B">
            <w:r>
              <w:rPr>
                <w:noProof/>
              </w:rPr>
              <w:pict>
                <v:shape id="_x0000_i1026" type="#_x0000_t75" alt="Описание: C:\Documents and Settings\o.tututchenko\Application Data\Liga70\Client\Session\LOGOTYPE.BMP" style="width:54.75pt;height:24.75pt;visibility:visible">
                  <v:imagedata r:id="rId5"/>
                </v:shape>
              </w:pict>
            </w:r>
          </w:p>
        </w:tc>
      </w:tr>
    </w:tbl>
    <w:p w:rsidR="00345C45" w:rsidRDefault="00345C45"/>
    <w:sectPr w:rsidR="00345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02B"/>
    <w:rsid w:val="00345C45"/>
    <w:rsid w:val="00687BF4"/>
    <w:rsid w:val="00CA2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F9AE5E-CC9D-4BED-AC2A-D0741256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paragraph" w:styleId="a4">
    <w:name w:val="Balloon Text"/>
    <w:basedOn w:val="a"/>
    <w:link w:val="a5"/>
    <w:uiPriority w:val="99"/>
    <w:semiHidden/>
    <w:unhideWhenUsed/>
    <w:rsid w:val="00CA202B"/>
    <w:rPr>
      <w:rFonts w:ascii="Tahoma" w:hAnsi="Tahoma" w:cs="Tahoma"/>
      <w:sz w:val="16"/>
      <w:szCs w:val="16"/>
    </w:rPr>
  </w:style>
  <w:style w:type="character" w:customStyle="1" w:styleId="a5">
    <w:name w:val="Текст выноски Знак"/>
    <w:link w:val="a4"/>
    <w:uiPriority w:val="99"/>
    <w:semiHidden/>
    <w:rsid w:val="00CA20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o.tututchenko\Application%20Data\Liga70\Client\Session\LOGOTYPE.BMP" TargetMode="External"/><Relationship Id="rId4" Type="http://schemas.openxmlformats.org/officeDocument/2006/relationships/image" Target="file:///C:\Documents%20and%20Settings\o.tututchenko\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Постанова №1009.doc</Template>
  <TotalTime>0</TotalTime>
  <Pages>4</Pages>
  <Words>3920</Words>
  <Characters>2235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Chernigivoblenergo</Company>
  <LinksUpToDate>false</LinksUpToDate>
  <CharactersWithSpaces>6143</CharactersWithSpaces>
  <SharedDoc>false</SharedDoc>
  <HLinks>
    <vt:vector size="12" baseType="variant">
      <vt:variant>
        <vt:i4>3014656</vt:i4>
      </vt:variant>
      <vt:variant>
        <vt:i4>2316</vt:i4>
      </vt:variant>
      <vt:variant>
        <vt:i4>1026</vt:i4>
      </vt:variant>
      <vt:variant>
        <vt:i4>1</vt:i4>
      </vt:variant>
      <vt:variant>
        <vt:lpwstr>C:\Documents and Settings\o.tututchenko\Application Data\Liga70\Client\Session\TSIGN.GIF</vt:lpwstr>
      </vt:variant>
      <vt:variant>
        <vt:lpwstr/>
      </vt:variant>
      <vt:variant>
        <vt:i4>1048621</vt:i4>
      </vt:variant>
      <vt:variant>
        <vt:i4>16070</vt:i4>
      </vt:variant>
      <vt:variant>
        <vt:i4>1025</vt:i4>
      </vt:variant>
      <vt:variant>
        <vt:i4>1</vt:i4>
      </vt:variant>
      <vt:variant>
        <vt:lpwstr>C:\Documents and Settings\o.tututchenko\Application Data\Liga70\Client\Session\LOGOTYPE.BMP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Тутутченко Оксана Степанiвна</dc:creator>
  <cp:keywords/>
  <dc:description/>
  <cp:lastModifiedBy>s.danilchenko</cp:lastModifiedBy>
  <cp:revision>2</cp:revision>
  <dcterms:created xsi:type="dcterms:W3CDTF">2018-03-15T07:26:00Z</dcterms:created>
  <dcterms:modified xsi:type="dcterms:W3CDTF">2018-03-15T07:26:00Z</dcterms:modified>
</cp:coreProperties>
</file>