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29ED" w:rsidRDefault="00707E3B">
      <w:pPr>
        <w:pStyle w:val="a3"/>
        <w:jc w:val="center"/>
      </w:pPr>
      <w:r>
        <w:fldChar w:fldCharType="begin"/>
      </w:r>
      <w:r>
        <w:instrText xml:space="preserve"> INCLUDEPICTURE "C:\\Documents and Settings\\o.tututchenko\\Application Data\\Liga70\\Client\\Session\\TSIGN.GIF" \* MERGEFORMAT \d </w:instrText>
      </w:r>
      <w: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C:\Documents and Settings\o.tututchenko\Application Data\Liga70\Client\Session\TSIGN.GIF" style="width:52.5pt;height:1in;visibility:visible">
            <v:imagedata r:id="rId4"/>
          </v:shape>
        </w:pict>
      </w:r>
      <w:r>
        <w:fldChar w:fldCharType="end"/>
      </w:r>
    </w:p>
    <w:p w:rsidR="00A229ED" w:rsidRDefault="00A229ED">
      <w:pPr>
        <w:pStyle w:val="2"/>
        <w:jc w:val="center"/>
      </w:pPr>
      <w:r>
        <w:t>НАЦІОНАЛЬНА КОМІСІЯ, ЩО ЗДІЙСНЮЄ ДЕРЖАВНЕ РЕГУЛЮВАННЯ У СФЕРІ ЕНЕРГЕТИКИ</w:t>
      </w:r>
    </w:p>
    <w:p w:rsidR="00A229ED" w:rsidRDefault="00A229ED">
      <w:pPr>
        <w:pStyle w:val="2"/>
        <w:jc w:val="center"/>
      </w:pPr>
      <w:r>
        <w:t>ПОСТАНОВА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31"/>
        <w:gridCol w:w="2842"/>
        <w:gridCol w:w="3330"/>
      </w:tblGrid>
      <w:tr w:rsidR="00A229ED">
        <w:trPr>
          <w:tblCellSpacing w:w="22" w:type="dxa"/>
        </w:trPr>
        <w:tc>
          <w:tcPr>
            <w:tcW w:w="1750" w:type="pct"/>
            <w:hideMark/>
          </w:tcPr>
          <w:p w:rsidR="00A229ED" w:rsidRPr="00707E3B" w:rsidRDefault="00A229ED">
            <w:pPr>
              <w:pStyle w:val="a3"/>
              <w:jc w:val="center"/>
            </w:pPr>
            <w:r w:rsidRPr="00707E3B">
              <w:rPr>
                <w:b/>
                <w:bCs/>
              </w:rPr>
              <w:t>26.07.2013</w:t>
            </w:r>
          </w:p>
        </w:tc>
        <w:tc>
          <w:tcPr>
            <w:tcW w:w="1500" w:type="pct"/>
            <w:hideMark/>
          </w:tcPr>
          <w:p w:rsidR="00A229ED" w:rsidRPr="00707E3B" w:rsidRDefault="00A229ED">
            <w:pPr>
              <w:pStyle w:val="a3"/>
              <w:jc w:val="center"/>
            </w:pPr>
            <w:r w:rsidRPr="00707E3B"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A229ED" w:rsidRPr="00707E3B" w:rsidRDefault="00A229ED">
            <w:pPr>
              <w:pStyle w:val="a3"/>
              <w:jc w:val="center"/>
            </w:pPr>
            <w:r w:rsidRPr="00707E3B">
              <w:rPr>
                <w:b/>
                <w:bCs/>
              </w:rPr>
              <w:t>N 1029</w:t>
            </w:r>
          </w:p>
        </w:tc>
      </w:tr>
    </w:tbl>
    <w:p w:rsidR="00A229ED" w:rsidRDefault="00A229ED">
      <w:r>
        <w:br w:type="textWrapping" w:clear="all"/>
      </w:r>
    </w:p>
    <w:p w:rsidR="00A229ED" w:rsidRPr="00707E3B" w:rsidRDefault="00A229ED">
      <w:pPr>
        <w:pStyle w:val="a3"/>
        <w:jc w:val="center"/>
      </w:pPr>
      <w:r>
        <w:rPr>
          <w:b/>
          <w:bCs/>
        </w:rPr>
        <w:t xml:space="preserve">Зареєстровано в Міністерстві юстиції України </w:t>
      </w:r>
      <w:r>
        <w:br/>
      </w:r>
      <w:r>
        <w:rPr>
          <w:b/>
          <w:bCs/>
        </w:rPr>
        <w:t>01 серпня 2013 р. за N 1294/23826</w:t>
      </w:r>
    </w:p>
    <w:p w:rsidR="00A229ED" w:rsidRDefault="00A229ED">
      <w:pPr>
        <w:pStyle w:val="2"/>
        <w:jc w:val="center"/>
      </w:pPr>
      <w:r>
        <w:t>Про застосування стимулюючого регулювання у сфері передачі електричної енергії місцевими (локальними) електричними мережами</w:t>
      </w:r>
    </w:p>
    <w:p w:rsidR="00A229ED" w:rsidRPr="00707E3B" w:rsidRDefault="00A229ED">
      <w:pPr>
        <w:pStyle w:val="a3"/>
        <w:jc w:val="center"/>
      </w:pPr>
      <w:r>
        <w:t>Із змінами і доповненнями, внесеними</w:t>
      </w:r>
      <w:r>
        <w:br/>
        <w:t> постановою Національної комісії, що здійснює державне регулювання у сферах енергетики та комунальних послуг,</w:t>
      </w:r>
      <w:r>
        <w:br/>
        <w:t> від 24 листопада 2016 року N 2020</w:t>
      </w:r>
    </w:p>
    <w:p w:rsidR="00A229ED" w:rsidRDefault="00A229ED">
      <w:pPr>
        <w:pStyle w:val="a3"/>
        <w:jc w:val="both"/>
      </w:pPr>
      <w:r>
        <w:t xml:space="preserve">Відповідно до </w:t>
      </w:r>
      <w:r>
        <w:rPr>
          <w:color w:val="0000FF"/>
        </w:rPr>
        <w:t>статті 4 Закону України "Про природні монополії"</w:t>
      </w:r>
      <w:r>
        <w:t xml:space="preserve">, </w:t>
      </w:r>
      <w:r>
        <w:rPr>
          <w:color w:val="0000FF"/>
        </w:rPr>
        <w:t>Указів Президента України від 23 листопада 2011 року N 1059 "Про Національну комісію, що здійснює державне регулювання у сфері енергетики"</w:t>
      </w:r>
      <w:r>
        <w:t xml:space="preserve"> та </w:t>
      </w:r>
      <w:r>
        <w:rPr>
          <w:color w:val="0000FF"/>
        </w:rPr>
        <w:t>від 12 березня 2013 року N 128 "Про Національний план дій на 2013 рік щодо впровадження Програми економічних реформ на 2010 - 2014 роки "Заможне суспільство, конкурентоспроможна економіка, ефективна держава"</w:t>
      </w:r>
      <w:r>
        <w:t xml:space="preserve"> Національна комісія, що здійснює державне регулювання у сфері енергетики,</w:t>
      </w:r>
    </w:p>
    <w:p w:rsidR="00A229ED" w:rsidRDefault="00A229ED">
      <w:pPr>
        <w:pStyle w:val="a3"/>
        <w:jc w:val="both"/>
      </w:pPr>
      <w:r>
        <w:rPr>
          <w:b/>
          <w:bCs/>
        </w:rPr>
        <w:t>ПОСТАНОВЛЯЄ:</w:t>
      </w:r>
    </w:p>
    <w:p w:rsidR="00A229ED" w:rsidRDefault="00A229ED">
      <w:pPr>
        <w:pStyle w:val="a3"/>
        <w:jc w:val="both"/>
      </w:pPr>
      <w:r>
        <w:t>1. Стимулююче регулювання у сфері передачі електричної енергії місцевими (локальними) електричними мережами застосовується для суб'єктів господарювання, які здійснюють господарську діяльність на підставі ліцензії на здійснення діяльності з передачі електричної енергії місцевими (локальними) електричними мережами, та суб'єктів господарювання, які здійснюють господарську діяльність на підставі ліцензії на здійснення діяльності з передачі електричної енергії місцевими (локальними) електричними мережами та ліцензії на здійснення діяльності з постачання електричної енергії за регульованим тарифом (далі - ліцензіати).</w:t>
      </w:r>
    </w:p>
    <w:p w:rsidR="00A229ED" w:rsidRDefault="00A229ED">
      <w:pPr>
        <w:pStyle w:val="a3"/>
        <w:jc w:val="both"/>
      </w:pPr>
      <w:r>
        <w:t>2. Умовами для переходу ліцензіатів на стимулююче регулювання є:</w:t>
      </w:r>
    </w:p>
    <w:p w:rsidR="00A229ED" w:rsidRDefault="00A229ED">
      <w:pPr>
        <w:pStyle w:val="a3"/>
        <w:jc w:val="both"/>
      </w:pPr>
      <w:r>
        <w:lastRenderedPageBreak/>
        <w:t>1) відсутність заборгованості за електричну енергію перед ДП "Енергоринок" або наявність договорів про реструктуризацію такої заборгованості та виконання умов цих договорів;</w:t>
      </w:r>
    </w:p>
    <w:p w:rsidR="00A229ED" w:rsidRDefault="00A229ED">
      <w:pPr>
        <w:pStyle w:val="a3"/>
        <w:jc w:val="both"/>
      </w:pPr>
      <w:r>
        <w:t xml:space="preserve">2) проведення оцінки активів відповідно до Методики оцінки активів суб'єктів природних монополій, суб'єктів господарювання на суміжних ринках у сфері комбінованого виробництва електричної та теплової енергії, затвердженої </w:t>
      </w:r>
      <w:r>
        <w:rPr>
          <w:color w:val="0000FF"/>
        </w:rPr>
        <w:t>наказом Фонду державного майна України від 12 березня 2013 року N 293</w:t>
      </w:r>
      <w:r>
        <w:t>, зареєстрованої в Міністерстві юстиції України 29 березня 2013 року за N 522/23054, та наявність позитивної рецензії звіту про незалежну оцінку активів, прорецензованого рецензентами, які працюють в органі державної влади, який здійснює державне регулювання оціночної діяльності;</w:t>
      </w:r>
    </w:p>
    <w:p w:rsidR="00A229ED" w:rsidRDefault="00A229ED">
      <w:pPr>
        <w:pStyle w:val="a3"/>
        <w:jc w:val="both"/>
      </w:pPr>
      <w:r>
        <w:t>3) звернення ліцензіата щодо встановлення тарифів на постачання електричної енергії за регульованим тарифом та/або передачу електричної енергії місцевими (локальними) електричними мережами відповідно до визначеної чинним законодавством процедури встановлення тарифів.</w:t>
      </w:r>
    </w:p>
    <w:p w:rsidR="00A229ED" w:rsidRDefault="00A229ED">
      <w:pPr>
        <w:pStyle w:val="a3"/>
        <w:jc w:val="both"/>
      </w:pPr>
      <w:r>
        <w:t>3. Протягом першого регуляторного періоду ліцензіат має забезпечувати:</w:t>
      </w:r>
    </w:p>
    <w:p w:rsidR="00A229ED" w:rsidRDefault="00A229ED">
      <w:pPr>
        <w:pStyle w:val="a3"/>
        <w:jc w:val="both"/>
      </w:pPr>
      <w:r>
        <w:t>1) повну поточну оплату купованої електричної енергії в ДП "Енергоринок" та виконання зобов'язань за договорами реструктуризації заборгованості;</w:t>
      </w:r>
    </w:p>
    <w:p w:rsidR="00A229ED" w:rsidRDefault="00A229ED">
      <w:pPr>
        <w:pStyle w:val="a3"/>
        <w:jc w:val="both"/>
      </w:pPr>
      <w:r>
        <w:t>2) повнофункціональну роботу кол-центрів з роботи із споживачами з другого року першого регуляторного періоду;</w:t>
      </w:r>
    </w:p>
    <w:p w:rsidR="00A229ED" w:rsidRDefault="00A229ED">
      <w:pPr>
        <w:pStyle w:val="a3"/>
        <w:jc w:val="both"/>
      </w:pPr>
      <w:r>
        <w:t>3) повне виконання плану заходів із забезпечення достовірності даних для здійснення моніторингу якості послуг (зокрема шляхом створення систем реєстрації відключень в електричних мережах 6 - 150 кВ);</w:t>
      </w:r>
    </w:p>
    <w:p w:rsidR="00A229ED" w:rsidRDefault="00A229ED">
      <w:pPr>
        <w:pStyle w:val="a3"/>
        <w:jc w:val="both"/>
      </w:pPr>
      <w:r>
        <w:t xml:space="preserve">4) при здійсненні діяльності з передачі електричної енергії місцевими (локальними) електричними мережами щорічне інвестування в обсягах не менше ніж річна сума амортизації та доходу від плати за реактивну енергію, та 50 відсотків від прибутку на регуляторну базу активів з передачі електричної енергії місцевими (локальними) електричними мережами, яка створена на дату переходу до стимулюючого регулювання, згідно із інвестиційною програмою, затвердженою, погодженою та схваленою відповідно до Порядку формування інвестиційних програм ліцензіатів з передачі та постачання електричної енергії, затвердженого </w:t>
      </w:r>
      <w:r>
        <w:rPr>
          <w:color w:val="0000FF"/>
        </w:rPr>
        <w:t>постановою НКРЕ від 13 грудня 2012 року N 1627</w:t>
      </w:r>
      <w:r>
        <w:t>, зареєстрованого в Міністерстві юстиції України 02 січня 2013 року за N 20/22552 (далі - Порядок формування інвестиційних програм);</w:t>
      </w:r>
    </w:p>
    <w:p w:rsidR="00A229ED" w:rsidRDefault="00A229ED">
      <w:pPr>
        <w:pStyle w:val="a3"/>
        <w:jc w:val="right"/>
      </w:pPr>
      <w:r>
        <w:t>(підпункт 4 пункту 3 із змінами, внесеними згідно з постановою</w:t>
      </w:r>
      <w:r>
        <w:br/>
        <w:t> Національної комісії, що здійснює державне регулювання у сферах</w:t>
      </w:r>
      <w:r>
        <w:br/>
        <w:t> енергетики та комунальних послуг, від 24.11.2016 р. N 2020)</w:t>
      </w:r>
    </w:p>
    <w:p w:rsidR="00A229ED" w:rsidRDefault="00A229ED">
      <w:pPr>
        <w:pStyle w:val="a3"/>
        <w:jc w:val="both"/>
      </w:pPr>
      <w:r>
        <w:t xml:space="preserve">5) при здійсненні діяльності з постачання електричної енергії за регульованим тарифом щорічне інвестування в обсягах не менше ніж річна сума амортизації та 50 відсотків від прибутку на регуляторну базу активів з постачання електроенергії за регульованим тарифом, яка створена на дату переходу до стимулюючого регулювання, згідно із інвестиційною програмою, затвердженою, погодженою та схваленою відповідно до </w:t>
      </w:r>
      <w:r>
        <w:rPr>
          <w:color w:val="0000FF"/>
        </w:rPr>
        <w:t>Порядку формування інвестиційних програм</w:t>
      </w:r>
      <w:r>
        <w:t>.</w:t>
      </w:r>
    </w:p>
    <w:p w:rsidR="00A229ED" w:rsidRDefault="00A229ED">
      <w:pPr>
        <w:pStyle w:val="a3"/>
        <w:jc w:val="right"/>
      </w:pPr>
      <w:r>
        <w:lastRenderedPageBreak/>
        <w:t>(підпункт 5 пункту 3 із змінами, внесеними згідно з постановою</w:t>
      </w:r>
      <w:r>
        <w:br/>
        <w:t> Національної комісії, що здійснює державне регулювання у сферах</w:t>
      </w:r>
      <w:r>
        <w:br/>
        <w:t> енергетики та комунальних послуг, від 24.11.2016 р. N 2020)</w:t>
      </w:r>
    </w:p>
    <w:p w:rsidR="00A229ED" w:rsidRDefault="00A229ED">
      <w:pPr>
        <w:pStyle w:val="a3"/>
        <w:jc w:val="both"/>
      </w:pPr>
      <w:r>
        <w:t>4. Умовами для застосування ліцензіатами стимулюючого регулювання після першого регуляторного періоду є виконання зобов'язань, визначених пунктом 3 цієї постанови.</w:t>
      </w:r>
    </w:p>
    <w:p w:rsidR="00A229ED" w:rsidRDefault="00A229ED">
      <w:pPr>
        <w:pStyle w:val="a3"/>
        <w:jc w:val="both"/>
      </w:pPr>
      <w:r>
        <w:t xml:space="preserve">5. Починаючи з другого регуляторного періоду, ліцензіат має забезпечувати інвестування в обсягах не менше ніж річна сума амортизації та доходу від плати за реактивну енергію, проіндексована на індекс цін виробників промислової продукції, при здійсненні діяльності з передачі електричної енергії місцевими (локальними) електричними мережами та інвестування в обсягах не менших ніж річна сума амортизації, проіндексована на індекс цін виробників промислової продукції, при здійсненні діяльності з постачання електричної енергії за регульованим тарифом згідно з затвердженою, погодженою та схваленою відповідно до </w:t>
      </w:r>
      <w:r>
        <w:rPr>
          <w:color w:val="0000FF"/>
        </w:rPr>
        <w:t>Порядку формування інвестиційних програм</w:t>
      </w:r>
      <w:r>
        <w:rPr>
          <w:i/>
          <w:iCs/>
        </w:rPr>
        <w:t xml:space="preserve"> </w:t>
      </w:r>
      <w:r>
        <w:t>інвестиційною програмою.</w:t>
      </w:r>
    </w:p>
    <w:p w:rsidR="00A229ED" w:rsidRDefault="00A229ED">
      <w:pPr>
        <w:pStyle w:val="a3"/>
        <w:jc w:val="both"/>
      </w:pPr>
      <w:r>
        <w:t>6. До початку другого регуляторного періоду до нормативної бази стимулюючого регулювання мають бути внесені такі зміни:</w:t>
      </w:r>
    </w:p>
    <w:p w:rsidR="00A229ED" w:rsidRDefault="00A229ED">
      <w:pPr>
        <w:pStyle w:val="a3"/>
        <w:jc w:val="both"/>
      </w:pPr>
      <w:r>
        <w:t>1) запроваджено коригування необхідного доходу від здійснення діяльності з постачання електричної енергії за регульованим тарифом за даними виконання цільових показників якості послуг;</w:t>
      </w:r>
    </w:p>
    <w:p w:rsidR="00A229ED" w:rsidRDefault="00A229ED">
      <w:pPr>
        <w:pStyle w:val="a3"/>
        <w:jc w:val="both"/>
      </w:pPr>
      <w:r>
        <w:t>2) змінено коригування необхідного доходу від здійснення діяльності з передачі електричної енергії місцевими (локальними) електричними мережами, зокрема:</w:t>
      </w:r>
    </w:p>
    <w:p w:rsidR="00A229ED" w:rsidRDefault="00A229ED">
      <w:pPr>
        <w:pStyle w:val="a3"/>
        <w:jc w:val="both"/>
      </w:pPr>
      <w:r>
        <w:t>збільшено відносний граничний розмір коригування необхідного доходу від здійснення діяльності з передачі електричної енергії місцевими (локальними) електричними мережами за даними виконання цільових показників якості послуг;</w:t>
      </w:r>
    </w:p>
    <w:p w:rsidR="00A229ED" w:rsidRDefault="00A229ED">
      <w:pPr>
        <w:pStyle w:val="a3"/>
        <w:jc w:val="both"/>
      </w:pPr>
      <w:r>
        <w:t>розширено перелік показників якості послуг, які враховуються при коригуванні;</w:t>
      </w:r>
    </w:p>
    <w:p w:rsidR="00A229ED" w:rsidRDefault="00A229ED">
      <w:pPr>
        <w:pStyle w:val="a3"/>
        <w:jc w:val="both"/>
      </w:pPr>
      <w:r>
        <w:t>встановлено індивідуальні цільові показники якості послуг для ліцензіатів, фактичні показники якості послуг яких є нижчими від загальних цільових показників якості послуг;</w:t>
      </w:r>
    </w:p>
    <w:p w:rsidR="00A229ED" w:rsidRDefault="00A229ED">
      <w:pPr>
        <w:pStyle w:val="a3"/>
        <w:jc w:val="both"/>
      </w:pPr>
      <w:r>
        <w:t>3) за результатами порівняльного аналізу ефективності операційних контрольованих витрат ліцензіатів застосовано індивідуальні показники ефективності ліцензіатів з постачання електричної енергії за регульованим тарифом та/або з передачі електричної енергії місцевими (локальними) електричними мережами.</w:t>
      </w:r>
    </w:p>
    <w:p w:rsidR="00A229ED" w:rsidRDefault="00A229ED">
      <w:pPr>
        <w:pStyle w:val="a3"/>
        <w:jc w:val="both"/>
      </w:pPr>
      <w:r>
        <w:t>7. Управлінню цінової політики в електроенергетиці подати цю постанову на державну реєстрацію до Міністерства юстиції України в установленому законодавством порядку.</w:t>
      </w:r>
    </w:p>
    <w:p w:rsidR="00A229ED" w:rsidRDefault="00A229ED">
      <w:pPr>
        <w:pStyle w:val="a3"/>
        <w:jc w:val="both"/>
      </w:pPr>
      <w:r>
        <w:t>8. Ця постанова набирає чинності з дня її офіційного опублікування.</w:t>
      </w:r>
    </w:p>
    <w:p w:rsidR="00A229ED" w:rsidRDefault="00A229ED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1"/>
        <w:gridCol w:w="4782"/>
      </w:tblGrid>
      <w:tr w:rsidR="00A229ED">
        <w:trPr>
          <w:tblCellSpacing w:w="22" w:type="dxa"/>
        </w:trPr>
        <w:tc>
          <w:tcPr>
            <w:tcW w:w="2500" w:type="pct"/>
            <w:hideMark/>
          </w:tcPr>
          <w:p w:rsidR="00A229ED" w:rsidRPr="00707E3B" w:rsidRDefault="00A229ED">
            <w:pPr>
              <w:pStyle w:val="a3"/>
              <w:jc w:val="center"/>
            </w:pPr>
            <w:r w:rsidRPr="00707E3B">
              <w:rPr>
                <w:b/>
                <w:bCs/>
              </w:rPr>
              <w:t>В. о. Голови Комісії</w:t>
            </w:r>
          </w:p>
        </w:tc>
        <w:tc>
          <w:tcPr>
            <w:tcW w:w="2500" w:type="pct"/>
            <w:vAlign w:val="bottom"/>
            <w:hideMark/>
          </w:tcPr>
          <w:p w:rsidR="00A229ED" w:rsidRPr="00707E3B" w:rsidRDefault="00A229ED">
            <w:pPr>
              <w:pStyle w:val="a3"/>
              <w:jc w:val="center"/>
            </w:pPr>
            <w:r w:rsidRPr="00707E3B">
              <w:rPr>
                <w:b/>
                <w:bCs/>
              </w:rPr>
              <w:t>О. Рогозін</w:t>
            </w:r>
          </w:p>
        </w:tc>
      </w:tr>
      <w:tr w:rsidR="00A229ED">
        <w:trPr>
          <w:tblCellSpacing w:w="22" w:type="dxa"/>
        </w:trPr>
        <w:tc>
          <w:tcPr>
            <w:tcW w:w="2500" w:type="pct"/>
            <w:hideMark/>
          </w:tcPr>
          <w:p w:rsidR="00A229ED" w:rsidRPr="00707E3B" w:rsidRDefault="00A229ED">
            <w:pPr>
              <w:pStyle w:val="a3"/>
              <w:jc w:val="center"/>
            </w:pPr>
            <w:r w:rsidRPr="00707E3B">
              <w:rPr>
                <w:b/>
                <w:bCs/>
              </w:rPr>
              <w:t>ПОГОДЖЕНО:</w:t>
            </w:r>
          </w:p>
        </w:tc>
        <w:tc>
          <w:tcPr>
            <w:tcW w:w="2500" w:type="pct"/>
            <w:vAlign w:val="bottom"/>
            <w:hideMark/>
          </w:tcPr>
          <w:p w:rsidR="00A229ED" w:rsidRPr="00707E3B" w:rsidRDefault="00A229ED">
            <w:pPr>
              <w:pStyle w:val="a3"/>
              <w:jc w:val="center"/>
            </w:pPr>
            <w:r w:rsidRPr="00707E3B">
              <w:t> </w:t>
            </w:r>
          </w:p>
        </w:tc>
      </w:tr>
      <w:tr w:rsidR="00A229ED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A229ED" w:rsidRPr="00707E3B" w:rsidRDefault="00A229ED">
            <w:pPr>
              <w:pStyle w:val="a3"/>
              <w:jc w:val="center"/>
            </w:pPr>
            <w:r w:rsidRPr="00707E3B">
              <w:rPr>
                <w:b/>
                <w:bCs/>
              </w:rPr>
              <w:lastRenderedPageBreak/>
              <w:t xml:space="preserve">Перший заступник </w:t>
            </w:r>
            <w:r w:rsidRPr="00707E3B">
              <w:br/>
            </w:r>
            <w:r w:rsidRPr="00707E3B">
              <w:rPr>
                <w:b/>
                <w:bCs/>
              </w:rPr>
              <w:t xml:space="preserve">Міністра економічного </w:t>
            </w:r>
            <w:r w:rsidRPr="00707E3B">
              <w:br/>
            </w:r>
            <w:r w:rsidRPr="00707E3B">
              <w:rPr>
                <w:b/>
                <w:bCs/>
              </w:rPr>
              <w:t>розвитку і торгівлі України</w:t>
            </w:r>
          </w:p>
        </w:tc>
        <w:tc>
          <w:tcPr>
            <w:tcW w:w="2500" w:type="pct"/>
            <w:vAlign w:val="bottom"/>
            <w:hideMark/>
          </w:tcPr>
          <w:p w:rsidR="00A229ED" w:rsidRPr="00707E3B" w:rsidRDefault="00A229ED">
            <w:pPr>
              <w:pStyle w:val="a3"/>
              <w:jc w:val="center"/>
            </w:pPr>
            <w:r w:rsidRPr="00707E3B">
              <w:rPr>
                <w:b/>
                <w:bCs/>
              </w:rPr>
              <w:t>А. А. Максюта</w:t>
            </w:r>
          </w:p>
        </w:tc>
      </w:tr>
      <w:tr w:rsidR="00A229ED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A229ED" w:rsidRPr="00707E3B" w:rsidRDefault="00A229ED">
            <w:pPr>
              <w:pStyle w:val="a3"/>
              <w:jc w:val="center"/>
            </w:pPr>
            <w:r w:rsidRPr="00707E3B">
              <w:rPr>
                <w:b/>
                <w:bCs/>
              </w:rPr>
              <w:t xml:space="preserve">Міністр енергетики та вугільної </w:t>
            </w:r>
            <w:r w:rsidRPr="00707E3B">
              <w:br/>
            </w:r>
            <w:r w:rsidRPr="00707E3B">
              <w:rPr>
                <w:b/>
                <w:bCs/>
              </w:rPr>
              <w:t>промисловості України</w:t>
            </w:r>
          </w:p>
        </w:tc>
        <w:tc>
          <w:tcPr>
            <w:tcW w:w="2500" w:type="pct"/>
            <w:vAlign w:val="bottom"/>
            <w:hideMark/>
          </w:tcPr>
          <w:p w:rsidR="00A229ED" w:rsidRPr="00707E3B" w:rsidRDefault="00A229ED">
            <w:pPr>
              <w:pStyle w:val="a3"/>
              <w:jc w:val="center"/>
            </w:pPr>
            <w:r w:rsidRPr="00707E3B">
              <w:rPr>
                <w:b/>
                <w:bCs/>
              </w:rPr>
              <w:t>Е. Ставицький</w:t>
            </w:r>
          </w:p>
        </w:tc>
      </w:tr>
      <w:tr w:rsidR="00A229ED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A229ED" w:rsidRPr="00707E3B" w:rsidRDefault="00A229ED">
            <w:pPr>
              <w:pStyle w:val="a3"/>
              <w:jc w:val="center"/>
            </w:pPr>
            <w:r w:rsidRPr="00707E3B">
              <w:rPr>
                <w:b/>
                <w:bCs/>
              </w:rPr>
              <w:t>Голова Державної служби України</w:t>
            </w:r>
            <w:r w:rsidRPr="00707E3B">
              <w:br/>
            </w:r>
            <w:r w:rsidRPr="00707E3B">
              <w:rPr>
                <w:b/>
                <w:bCs/>
              </w:rPr>
              <w:t>з питань регуляторної політики</w:t>
            </w:r>
            <w:r w:rsidRPr="00707E3B">
              <w:br/>
            </w:r>
            <w:r w:rsidRPr="00707E3B">
              <w:rPr>
                <w:b/>
                <w:bCs/>
              </w:rPr>
              <w:t>та розвитку підприємництва</w:t>
            </w:r>
          </w:p>
        </w:tc>
        <w:tc>
          <w:tcPr>
            <w:tcW w:w="2500" w:type="pct"/>
            <w:vAlign w:val="bottom"/>
            <w:hideMark/>
          </w:tcPr>
          <w:p w:rsidR="00A229ED" w:rsidRPr="00707E3B" w:rsidRDefault="00A229ED">
            <w:pPr>
              <w:pStyle w:val="a3"/>
              <w:jc w:val="center"/>
            </w:pPr>
            <w:r w:rsidRPr="00707E3B">
              <w:rPr>
                <w:b/>
                <w:bCs/>
              </w:rPr>
              <w:t>М. Ю. Бродський</w:t>
            </w:r>
          </w:p>
        </w:tc>
      </w:tr>
    </w:tbl>
    <w:p w:rsidR="00A229ED" w:rsidRDefault="00A229ED">
      <w:pPr>
        <w:pStyle w:val="a3"/>
        <w:jc w:val="both"/>
      </w:pPr>
      <w:r>
        <w:br w:type="textWrapping" w:clear="all"/>
      </w:r>
    </w:p>
    <w:p w:rsidR="00A229ED" w:rsidRDefault="00A229ED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5"/>
        <w:gridCol w:w="1170"/>
      </w:tblGrid>
      <w:tr w:rsidR="00A229ED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A229ED" w:rsidRDefault="00A229ED">
            <w:r>
              <w:t>© ТОВ "Інформаційно-аналітичний центр "ЛІГА", 2018</w:t>
            </w:r>
            <w:r>
              <w:br/>
              <w:t>© ТОВ "ЛІГА ЗАКОН", 2018</w:t>
            </w:r>
          </w:p>
        </w:tc>
        <w:tc>
          <w:tcPr>
            <w:tcW w:w="500" w:type="pct"/>
            <w:vAlign w:val="center"/>
            <w:hideMark/>
          </w:tcPr>
          <w:p w:rsidR="00A229ED" w:rsidRDefault="00707E3B">
            <w:r>
              <w:rPr>
                <w:noProof/>
              </w:rPr>
              <w:pict>
                <v:shape id="_x0000_i1026" type="#_x0000_t75" alt="Описание: C:\Documents and Settings\o.tututchenko\Application Data\Liga70\Client\Session\LOGOTYPE.BMP" style="width:54.75pt;height:24.75pt;visibility:visible">
                  <v:imagedata r:id="rId5"/>
                </v:shape>
              </w:pict>
            </w:r>
          </w:p>
        </w:tc>
      </w:tr>
    </w:tbl>
    <w:p w:rsidR="00A229ED" w:rsidRDefault="00A229ED"/>
    <w:sectPr w:rsidR="00A2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E3B"/>
    <w:rsid w:val="00707E3B"/>
    <w:rsid w:val="00A229ED"/>
    <w:rsid w:val="00E7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5EEC3A-6967-4B42-917A-66B3882C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07E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07E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o.tututchenko\Application%20Data\Liga70\Client\Session\LOGOTYPE.BMP" TargetMode="External"/><Relationship Id="rId4" Type="http://schemas.openxmlformats.org/officeDocument/2006/relationships/image" Target="file:///C:\Documents%20and%20Settings\o.tututchenko\Application%20Data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Постанова №1029.doc</Template>
  <TotalTime>0</TotalTime>
  <Pages>4</Pages>
  <Words>4980</Words>
  <Characters>2840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Chernigivoblenergo</Company>
  <LinksUpToDate>false</LinksUpToDate>
  <CharactersWithSpaces>7805</CharactersWithSpaces>
  <SharedDoc>false</SharedDoc>
  <HLinks>
    <vt:vector size="12" baseType="variant">
      <vt:variant>
        <vt:i4>3014656</vt:i4>
      </vt:variant>
      <vt:variant>
        <vt:i4>2316</vt:i4>
      </vt:variant>
      <vt:variant>
        <vt:i4>1026</vt:i4>
      </vt:variant>
      <vt:variant>
        <vt:i4>1</vt:i4>
      </vt:variant>
      <vt:variant>
        <vt:lpwstr>C:\Documents and Settings\o.tututchenko\Application Data\Liga70\Client\Session\TSIGN.GIF</vt:lpwstr>
      </vt:variant>
      <vt:variant>
        <vt:lpwstr/>
      </vt:variant>
      <vt:variant>
        <vt:i4>1048621</vt:i4>
      </vt:variant>
      <vt:variant>
        <vt:i4>19320</vt:i4>
      </vt:variant>
      <vt:variant>
        <vt:i4>1025</vt:i4>
      </vt:variant>
      <vt:variant>
        <vt:i4>1</vt:i4>
      </vt:variant>
      <vt:variant>
        <vt:lpwstr>C:\Documents and Settings\o.tututchenko\Application Data\Liga70\Client\Session\LOGOTYPE.BMP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Тутутченко Оксана Степанiвна</dc:creator>
  <cp:keywords/>
  <dc:description/>
  <cp:lastModifiedBy>s.danilchenko</cp:lastModifiedBy>
  <cp:revision>2</cp:revision>
  <dcterms:created xsi:type="dcterms:W3CDTF">2018-03-15T07:26:00Z</dcterms:created>
  <dcterms:modified xsi:type="dcterms:W3CDTF">2018-03-15T07:26:00Z</dcterms:modified>
</cp:coreProperties>
</file>