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3526" w:rsidRDefault="001E515E">
      <w:pPr>
        <w:pStyle w:val="a3"/>
        <w:jc w:val="center"/>
      </w:pPr>
      <w:r>
        <w:fldChar w:fldCharType="begin"/>
      </w:r>
      <w:r>
        <w:instrText xml:space="preserve"> INCLUDEPICTURE "C:\\Documents and Settings\\o.tututchenko\\Application Data\\Liga70\\Client\\Session\\TSIGN.GIF" \* MERGEFORMAT \d </w:instrText>
      </w:r>
      <w: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C:\Documents and Settings\o.tututchenko\Application Data\Liga70\Client\Session\TSIGN.GIF" style="width:52.5pt;height:1in;visibility:visible">
            <v:imagedata r:id="rId4"/>
          </v:shape>
        </w:pict>
      </w:r>
      <w:r>
        <w:fldChar w:fldCharType="end"/>
      </w:r>
    </w:p>
    <w:p w:rsidR="00663526" w:rsidRDefault="00663526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НАЦІОНАЛЬНА КОМІСІЯ РЕГУЛЮВАННЯ ЕЛЕКТРОЕНЕРГЕТИКИ УКРАЇНИ </w:t>
      </w:r>
    </w:p>
    <w:p w:rsidR="00663526" w:rsidRDefault="00663526">
      <w:pPr>
        <w:pStyle w:val="2"/>
        <w:jc w:val="center"/>
      </w:pPr>
      <w:r>
        <w:t xml:space="preserve">ПОСТАНОВА </w:t>
      </w:r>
    </w:p>
    <w:p w:rsidR="00663526" w:rsidRPr="001E515E" w:rsidRDefault="00663526">
      <w:pPr>
        <w:pStyle w:val="a3"/>
        <w:jc w:val="center"/>
      </w:pPr>
      <w:r>
        <w:rPr>
          <w:b/>
          <w:bCs/>
        </w:rPr>
        <w:t xml:space="preserve">від 13 серпня 1998 року N 1052 </w:t>
      </w:r>
    </w:p>
    <w:p w:rsidR="00663526" w:rsidRDefault="00663526">
      <w:pPr>
        <w:pStyle w:val="2"/>
        <w:jc w:val="center"/>
      </w:pPr>
      <w:r>
        <w:t xml:space="preserve">Про Порядок визначення класів споживачів </w:t>
      </w:r>
    </w:p>
    <w:p w:rsidR="00663526" w:rsidRPr="001E515E" w:rsidRDefault="00663526">
      <w:pPr>
        <w:pStyle w:val="a3"/>
        <w:jc w:val="center"/>
      </w:pPr>
      <w:r>
        <w:t>Із змінами і доповненнями, внесеними</w:t>
      </w:r>
      <w:r>
        <w:br/>
        <w:t> постановами Національної комісії регулювання електроенергетики України</w:t>
      </w:r>
      <w:r>
        <w:br/>
        <w:t> від 23 жовтня 2001 року N 1066,</w:t>
      </w:r>
      <w:r>
        <w:br/>
        <w:t> від 15 лютого 2002 року N 153,</w:t>
      </w:r>
      <w:r>
        <w:br/>
        <w:t> від 22 лютого 2002 року N 184,</w:t>
      </w:r>
      <w:r>
        <w:br/>
        <w:t> від 25 липня 2003 року N 729,</w:t>
      </w:r>
      <w:r>
        <w:br/>
        <w:t> від 15 грудня 2004 року N 1217,</w:t>
      </w:r>
      <w:r>
        <w:br/>
        <w:t> від 30 червня 2005 року N 493,</w:t>
      </w:r>
      <w:r>
        <w:br/>
        <w:t> від 30 червня 2011 року N 1110</w:t>
      </w:r>
    </w:p>
    <w:p w:rsidR="00663526" w:rsidRDefault="00663526">
      <w:pPr>
        <w:pStyle w:val="a3"/>
        <w:jc w:val="center"/>
      </w:pPr>
      <w:r>
        <w:t>Постанова втратила чинність</w:t>
      </w:r>
      <w:r>
        <w:br/>
        <w:t>(згідно з постановою Національної комісії регулювання електроенергетики України</w:t>
      </w:r>
      <w:r>
        <w:br/>
        <w:t> від 19 листопада 2009 року N 1294)</w:t>
      </w:r>
    </w:p>
    <w:p w:rsidR="00663526" w:rsidRDefault="00663526">
      <w:pPr>
        <w:pStyle w:val="a3"/>
        <w:jc w:val="center"/>
      </w:pPr>
      <w:r>
        <w:t>Дію постанови відновлено</w:t>
      </w:r>
      <w:r>
        <w:br/>
        <w:t xml:space="preserve">(згідно з постановою Національної комісії регулювання електроенергетики України </w:t>
      </w:r>
      <w:r>
        <w:br/>
        <w:t>від 1 лютого 2010 року N 93)</w:t>
      </w:r>
    </w:p>
    <w:p w:rsidR="00663526" w:rsidRDefault="00663526">
      <w:pPr>
        <w:pStyle w:val="a3"/>
        <w:jc w:val="both"/>
      </w:pPr>
      <w:r>
        <w:t xml:space="preserve">Згідно із </w:t>
      </w:r>
      <w:r>
        <w:rPr>
          <w:color w:val="0000FF"/>
        </w:rPr>
        <w:t>Законом України "Про електроенергетику"</w:t>
      </w:r>
      <w:r>
        <w:t xml:space="preserve">, </w:t>
      </w:r>
      <w:r>
        <w:rPr>
          <w:color w:val="0000FF"/>
        </w:rPr>
        <w:t>Указом Президента України від 21 квітня 1998 р. N 335 "Питання Національної комісії регулювання електроенергетики України"</w:t>
      </w:r>
      <w:r>
        <w:t xml:space="preserve"> Національна комісія регулювання електроенергетики України </w:t>
      </w:r>
      <w:r>
        <w:rPr>
          <w:b/>
          <w:bCs/>
        </w:rPr>
        <w:t>постановляє</w:t>
      </w:r>
      <w:r>
        <w:t xml:space="preserve">: </w:t>
      </w:r>
    </w:p>
    <w:p w:rsidR="00663526" w:rsidRDefault="00663526">
      <w:pPr>
        <w:pStyle w:val="a3"/>
        <w:jc w:val="both"/>
      </w:pPr>
      <w:r>
        <w:t xml:space="preserve">Затвердити Порядок визначення класів споживачів, диференційованих за ступенями напруги на межі балансового розподілу електропостачальних систем (додається). </w:t>
      </w:r>
    </w:p>
    <w:p w:rsidR="00663526" w:rsidRDefault="00663526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663526">
        <w:trPr>
          <w:tblCellSpacing w:w="22" w:type="dxa"/>
        </w:trPr>
        <w:tc>
          <w:tcPr>
            <w:tcW w:w="2500" w:type="pct"/>
            <w:hideMark/>
          </w:tcPr>
          <w:p w:rsidR="00663526" w:rsidRPr="001E515E" w:rsidRDefault="00663526">
            <w:pPr>
              <w:pStyle w:val="a3"/>
              <w:jc w:val="center"/>
            </w:pPr>
            <w:r w:rsidRPr="001E515E">
              <w:rPr>
                <w:b/>
                <w:bCs/>
              </w:rPr>
              <w:t>Голова Комісії</w:t>
            </w:r>
            <w:r w:rsidRPr="001E515E">
              <w:t> </w:t>
            </w:r>
          </w:p>
        </w:tc>
        <w:tc>
          <w:tcPr>
            <w:tcW w:w="2500" w:type="pct"/>
            <w:hideMark/>
          </w:tcPr>
          <w:p w:rsidR="00663526" w:rsidRPr="001E515E" w:rsidRDefault="00663526">
            <w:pPr>
              <w:pStyle w:val="a3"/>
              <w:jc w:val="center"/>
            </w:pPr>
            <w:r w:rsidRPr="001E515E">
              <w:rPr>
                <w:b/>
                <w:bCs/>
              </w:rPr>
              <w:t>З. Буцьо</w:t>
            </w:r>
            <w:r w:rsidRPr="001E515E">
              <w:t> </w:t>
            </w:r>
          </w:p>
        </w:tc>
      </w:tr>
    </w:tbl>
    <w:p w:rsidR="00663526" w:rsidRDefault="00663526">
      <w:pPr>
        <w:pStyle w:val="a3"/>
        <w:jc w:val="both"/>
      </w:pPr>
      <w:r>
        <w:br w:type="textWrapping" w:clear="all"/>
      </w:r>
    </w:p>
    <w:p w:rsidR="00663526" w:rsidRDefault="00663526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663526">
        <w:trPr>
          <w:tblCellSpacing w:w="22" w:type="dxa"/>
        </w:trPr>
        <w:tc>
          <w:tcPr>
            <w:tcW w:w="0" w:type="auto"/>
            <w:hideMark/>
          </w:tcPr>
          <w:p w:rsidR="00663526" w:rsidRPr="001E515E" w:rsidRDefault="00663526">
            <w:pPr>
              <w:pStyle w:val="a3"/>
            </w:pPr>
            <w:r w:rsidRPr="001E515E">
              <w:lastRenderedPageBreak/>
              <w:t>ЗАТВЕРДЖЕНО</w:t>
            </w:r>
            <w:r w:rsidRPr="001E515E">
              <w:br/>
              <w:t>постановою НКРЕ</w:t>
            </w:r>
            <w:r w:rsidRPr="001E515E">
              <w:br/>
              <w:t>від 13 серпня 1998 р. N 1052</w:t>
            </w:r>
            <w:r w:rsidRPr="001E515E">
              <w:br/>
              <w:t>(в редакції постанови НКРЕ</w:t>
            </w:r>
            <w:r w:rsidRPr="001E515E">
              <w:br/>
              <w:t>від 15 грудня 2004 р. N 1217) </w:t>
            </w:r>
          </w:p>
        </w:tc>
      </w:tr>
    </w:tbl>
    <w:p w:rsidR="00663526" w:rsidRDefault="00663526">
      <w:pPr>
        <w:pStyle w:val="a3"/>
        <w:jc w:val="both"/>
      </w:pPr>
      <w:r>
        <w:br w:type="textWrapping" w:clear="all"/>
      </w:r>
    </w:p>
    <w:p w:rsidR="00663526" w:rsidRDefault="00663526">
      <w:pPr>
        <w:pStyle w:val="3"/>
        <w:jc w:val="center"/>
      </w:pPr>
      <w:r>
        <w:t>Порядок</w:t>
      </w:r>
      <w:r>
        <w:br/>
        <w:t xml:space="preserve">визначення класів споживачів електричної енергії, диференційованих за ступенями напруги </w:t>
      </w:r>
    </w:p>
    <w:p w:rsidR="00663526" w:rsidRPr="001E515E" w:rsidRDefault="00663526">
      <w:pPr>
        <w:pStyle w:val="a3"/>
        <w:jc w:val="both"/>
      </w:pPr>
      <w:r>
        <w:t xml:space="preserve">1. Порядок визначення класів споживачів електричної енергії, диференційованих за ступенями напруги (далі - Порядок), прийнято згідно з Умовами та Правилами здійснення підприємницької діяльності з передачі електричної енергії місцевими (локальними) електромережами, затвердженими </w:t>
      </w:r>
      <w:r>
        <w:rPr>
          <w:color w:val="0000FF"/>
        </w:rPr>
        <w:t>постановою Національної комісії регулювання електроенергетики України від 13.06.96 N 15</w:t>
      </w:r>
      <w:r>
        <w:t xml:space="preserve">, Умовами та Правилами здійснення підприємницької діяльності з постачання електричної енергії за регульованим тарифом, затвердженими </w:t>
      </w:r>
      <w:r>
        <w:rPr>
          <w:color w:val="0000FF"/>
        </w:rPr>
        <w:t>постановою Національної комісії регулювання електроенергетики України від 13.06.96 N 15/1</w:t>
      </w:r>
      <w:r>
        <w:t xml:space="preserve">. </w:t>
      </w:r>
    </w:p>
    <w:p w:rsidR="00663526" w:rsidRDefault="00663526">
      <w:pPr>
        <w:pStyle w:val="a3"/>
        <w:jc w:val="both"/>
      </w:pPr>
      <w:r>
        <w:t xml:space="preserve">Цей Порядок обов'язковий для застосування всіма ліцензіатами з передачі електричної енергії місцевими (локальними) електричними мережами та з постачання електроенергії за регульованим тарифом при укладенні із споживачами договорів про постачання електричної енергії за регульованим тарифом. </w:t>
      </w:r>
    </w:p>
    <w:p w:rsidR="00663526" w:rsidRDefault="00663526">
      <w:pPr>
        <w:pStyle w:val="a3"/>
        <w:jc w:val="both"/>
      </w:pPr>
      <w:r>
        <w:t xml:space="preserve">2. У цьому Порядку наведені нижче терміни вживаються в такому значенні: </w:t>
      </w:r>
    </w:p>
    <w:p w:rsidR="00663526" w:rsidRDefault="00663526">
      <w:pPr>
        <w:pStyle w:val="a3"/>
        <w:jc w:val="both"/>
      </w:pPr>
      <w:r>
        <w:t xml:space="preserve">основний споживач - споживач електричної енергії або власник електричних мереж, який передає частину електроенергії своїми технологічними електричними мережами субспоживачам; </w:t>
      </w:r>
    </w:p>
    <w:p w:rsidR="00663526" w:rsidRDefault="00663526">
      <w:pPr>
        <w:pStyle w:val="a3"/>
        <w:jc w:val="both"/>
      </w:pPr>
      <w:r>
        <w:t xml:space="preserve">споживач електричної енергії (споживач) - юридична або фізична особа - підприємець, населення, що використовує електричну енергію для забезпечення потреб власних електроустановок на підставі договору з постачальником електричної енергії; </w:t>
      </w:r>
    </w:p>
    <w:p w:rsidR="00663526" w:rsidRDefault="00663526">
      <w:pPr>
        <w:pStyle w:val="a3"/>
        <w:jc w:val="both"/>
      </w:pPr>
      <w:r>
        <w:t xml:space="preserve">субспоживач - споживач, якому електрична енергія постачається постачальником електричної енергії через мережі електропередавальних організацій та технологічні електричні мережі основного споживача, до мереж якого приєднані електроустановки споживача (субспоживача); </w:t>
      </w:r>
    </w:p>
    <w:p w:rsidR="00663526" w:rsidRDefault="00663526">
      <w:pPr>
        <w:pStyle w:val="a3"/>
        <w:jc w:val="both"/>
      </w:pPr>
      <w:r>
        <w:t xml:space="preserve">точка продажу електричної енергії - межа балансової належності, на якій відповідно до умов договору про постачання електричної енергії або про купівлю-продаж електричної енергії відбувається перехід права власності на електричну енергію. </w:t>
      </w:r>
    </w:p>
    <w:p w:rsidR="00663526" w:rsidRDefault="00663526">
      <w:pPr>
        <w:pStyle w:val="a3"/>
        <w:jc w:val="both"/>
      </w:pPr>
      <w:r>
        <w:t xml:space="preserve">3. Споживачі електричної енергії розподіляються на два класи. </w:t>
      </w:r>
    </w:p>
    <w:p w:rsidR="00663526" w:rsidRDefault="00663526">
      <w:pPr>
        <w:pStyle w:val="a3"/>
        <w:jc w:val="both"/>
      </w:pPr>
      <w:r>
        <w:t xml:space="preserve">3.1. До 1 класу відносяться споживачі, які: </w:t>
      </w:r>
    </w:p>
    <w:p w:rsidR="00663526" w:rsidRDefault="00663526">
      <w:pPr>
        <w:pStyle w:val="a3"/>
        <w:jc w:val="both"/>
      </w:pPr>
      <w:r>
        <w:t xml:space="preserve">1) отримують електричну енергію від постачальника електричної енергії в точці продажу електричної енергії із ступенем напруги 27,5 кВ та вище; </w:t>
      </w:r>
    </w:p>
    <w:p w:rsidR="00663526" w:rsidRDefault="00663526">
      <w:pPr>
        <w:pStyle w:val="a3"/>
        <w:jc w:val="both"/>
      </w:pPr>
      <w:r>
        <w:lastRenderedPageBreak/>
        <w:t>2) приєднані до шин електростанцій (за винятком ГЕС, які виробляють електроенергію періодично), а також до шин підстанцій електричної мережі напругою 220 кВ і вище, незалежно від ступенів напруги в точці продажу електричної енергії електропостачальною організацією споживачу; </w:t>
      </w:r>
    </w:p>
    <w:p w:rsidR="00663526" w:rsidRDefault="00663526">
      <w:pPr>
        <w:pStyle w:val="a3"/>
        <w:jc w:val="both"/>
      </w:pPr>
      <w:r>
        <w:t>3) є промисловими підприємствами із середньомісячним обсягом споживання електричної енергії 150 млн. кВт</w:t>
      </w:r>
      <w:r>
        <w:rPr>
          <w:b/>
          <w:bCs/>
        </w:rPr>
        <w:t>.</w:t>
      </w:r>
      <w:r>
        <w:t>год. та більше на технологічні потреби виробництва, незалежно від ступенів напруги в точці продажу електричної енергії електропостачальною організацією споживачу;</w:t>
      </w:r>
    </w:p>
    <w:p w:rsidR="00663526" w:rsidRDefault="00663526">
      <w:pPr>
        <w:pStyle w:val="a3"/>
        <w:jc w:val="right"/>
      </w:pPr>
      <w:r>
        <w:t>(пункт 3.1 доповнено підпунктом 3 згідно з</w:t>
      </w:r>
      <w:r>
        <w:br/>
        <w:t> постановою НКРЕ від 30.06.2005 р. N 493)</w:t>
      </w:r>
    </w:p>
    <w:p w:rsidR="00663526" w:rsidRDefault="00663526">
      <w:pPr>
        <w:pStyle w:val="a3"/>
        <w:jc w:val="both"/>
      </w:pPr>
      <w:r>
        <w:t>4) є промисловими підприємствами, що збільшили обсяг річного споживання більш ніж утричі порівняно з 2008 роком або ввели нові виробничі потужності після 2008 року, та місячне споживання яких складає понад 20 млн кВт·год на технологічні потреби виробництва, незалежно від ступенів напруги в точці продажу електричної енергії електропостачальною організацією споживачу.</w:t>
      </w:r>
    </w:p>
    <w:p w:rsidR="00663526" w:rsidRDefault="00663526">
      <w:pPr>
        <w:pStyle w:val="a3"/>
        <w:jc w:val="right"/>
      </w:pPr>
      <w:r>
        <w:t>(пункт 3.1 доповнено підпунктом 4 згідно з</w:t>
      </w:r>
      <w:r>
        <w:br/>
        <w:t> постановою НКРЕ від 30.06.2011 р. N 1110)</w:t>
      </w:r>
    </w:p>
    <w:p w:rsidR="00663526" w:rsidRDefault="00663526">
      <w:pPr>
        <w:pStyle w:val="a3"/>
        <w:jc w:val="both"/>
      </w:pPr>
      <w:r>
        <w:t xml:space="preserve">3.2. До 2 класу відносяться споживачі, які отримують електричну енергію від постачальника електричної енергії в точці продажу електричної енергії із ступенем напруги нижче 27,5 кВ, крім випадків, передбачених підпунктом 3.1 цього Порядку. </w:t>
      </w:r>
    </w:p>
    <w:p w:rsidR="00663526" w:rsidRDefault="00663526">
      <w:pPr>
        <w:pStyle w:val="a3"/>
        <w:jc w:val="both"/>
      </w:pPr>
      <w:r>
        <w:t xml:space="preserve">4. Якщо споживач отримує електричну енергію за декількома точками продажу з різними класами відповідно </w:t>
      </w:r>
      <w:proofErr w:type="gramStart"/>
      <w:r>
        <w:t>до пункту</w:t>
      </w:r>
      <w:proofErr w:type="gramEnd"/>
      <w:r>
        <w:t xml:space="preserve"> 3 цього Порядку, йому встановлюються різні класи окремо по кожній точці продажу електричної енергії. </w:t>
      </w:r>
    </w:p>
    <w:p w:rsidR="00663526" w:rsidRDefault="00663526">
      <w:pPr>
        <w:pStyle w:val="a3"/>
        <w:jc w:val="both"/>
      </w:pPr>
      <w:r>
        <w:t xml:space="preserve">5. Клас субспоживача визначається: </w:t>
      </w:r>
    </w:p>
    <w:p w:rsidR="00663526" w:rsidRDefault="00663526">
      <w:pPr>
        <w:pStyle w:val="a3"/>
        <w:jc w:val="both"/>
      </w:pPr>
      <w:r>
        <w:t xml:space="preserve">1) за класом в точці (точках) продажу електричної енергії основному споживачу незалежно від ступеня напруги на межі балансового розподілу електричних мереж основного споживача та субспоживача у випадку, якщо відшкодування основному споживачу вартості обґрунтованих витрат на утримання технологічних електричних мереж, які використовуються для передачі електричної енергії субспоживачу, здійснюється субспоживачем відповідно </w:t>
      </w:r>
      <w:proofErr w:type="gramStart"/>
      <w:r>
        <w:t>до договору</w:t>
      </w:r>
      <w:proofErr w:type="gramEnd"/>
      <w:r>
        <w:t xml:space="preserve"> між основним споживачем та субспоживачем. </w:t>
      </w:r>
    </w:p>
    <w:p w:rsidR="00663526" w:rsidRDefault="00663526">
      <w:pPr>
        <w:pStyle w:val="a3"/>
        <w:jc w:val="both"/>
      </w:pPr>
      <w:r>
        <w:t xml:space="preserve">Якщо основний споживач отримує електричну енергію за декількома точками продажу, які відносяться до різних класів, при визначенні класів субспоживача необхідно керуватися такими принципами: </w:t>
      </w:r>
    </w:p>
    <w:p w:rsidR="00663526" w:rsidRDefault="00663526">
      <w:pPr>
        <w:pStyle w:val="a3"/>
        <w:jc w:val="both"/>
      </w:pPr>
      <w:r>
        <w:t xml:space="preserve">за можливості чітко визначити шляхи передачі електричної енергії до електроустановки субспоживача від конкретної точки продажу електричної енергії основному споживачу, субспоживачу встановлюється клас споживача відповідно до точки продажу основного споживача; </w:t>
      </w:r>
    </w:p>
    <w:p w:rsidR="00663526" w:rsidRDefault="00663526">
      <w:pPr>
        <w:pStyle w:val="a3"/>
        <w:jc w:val="both"/>
      </w:pPr>
      <w:r>
        <w:t xml:space="preserve">за неможливості однозначно встановити шляхи передачі електричної енергії до електроустановки субспоживача останній оплачує спожиту електричну енергію за </w:t>
      </w:r>
      <w:r>
        <w:lastRenderedPageBreak/>
        <w:t xml:space="preserve">тарифами різних класів у такому відсотковому співвідношенні обсягів електричної енергії, спожитої на різних класах, яке складається для основного споживача; </w:t>
      </w:r>
    </w:p>
    <w:p w:rsidR="00663526" w:rsidRDefault="00663526">
      <w:pPr>
        <w:pStyle w:val="a3"/>
        <w:jc w:val="both"/>
      </w:pPr>
      <w:r>
        <w:t xml:space="preserve">2) за класом в точці (точках) продажу електричної енергії субспоживачу у випадку, коли відшкодування основному споживачу вартості обґрунтованих витрат на утримання технологічних електричних мереж, які використовуються для передачі електричної енергії субспоживачу, здійснюється постачальником електричної енергії за регульованим тарифом відповідно </w:t>
      </w:r>
      <w:proofErr w:type="gramStart"/>
      <w:r>
        <w:t>до договору</w:t>
      </w:r>
      <w:proofErr w:type="gramEnd"/>
      <w:r>
        <w:t xml:space="preserve"> між основним споживачем та постачальником електричної енергії за регульованим тарифом. </w:t>
      </w:r>
    </w:p>
    <w:p w:rsidR="00663526" w:rsidRDefault="00663526">
      <w:pPr>
        <w:pStyle w:val="a3"/>
        <w:jc w:val="right"/>
      </w:pPr>
      <w:r>
        <w:t>(Порядок із змінами, внесеними згідно з</w:t>
      </w:r>
      <w:r>
        <w:br/>
        <w:t> постановами НКРЕ від 23.10.2001 р. N 1066,</w:t>
      </w:r>
      <w:r>
        <w:br/>
        <w:t> від 15.02.2002 р. N 153,</w:t>
      </w:r>
      <w:r>
        <w:br/>
        <w:t> від 22.02.2002 р. N 184,</w:t>
      </w:r>
      <w:r>
        <w:br/>
        <w:t> у редакції постанови</w:t>
      </w:r>
      <w:r>
        <w:br/>
        <w:t> НКРЕ від 15.12.2004 р. N 1217)</w:t>
      </w:r>
    </w:p>
    <w:p w:rsidR="00663526" w:rsidRDefault="00663526">
      <w:pPr>
        <w:pStyle w:val="a3"/>
        <w:jc w:val="center"/>
      </w:pPr>
      <w:r>
        <w:t xml:space="preserve">____________ </w:t>
      </w:r>
    </w:p>
    <w:p w:rsidR="00663526" w:rsidRDefault="00663526">
      <w:pPr>
        <w:pStyle w:val="a3"/>
        <w:jc w:val="center"/>
      </w:pPr>
      <w: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1170"/>
      </w:tblGrid>
      <w:tr w:rsidR="00663526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663526" w:rsidRDefault="00663526">
            <w:r>
              <w:t>© ТОВ "Інформаційно-аналітичний центр "ЛІГА", 2018</w:t>
            </w:r>
            <w:r>
              <w:br/>
              <w:t>© ТОВ "ЛІГА ЗАКОН", 2018</w:t>
            </w:r>
          </w:p>
        </w:tc>
        <w:tc>
          <w:tcPr>
            <w:tcW w:w="500" w:type="pct"/>
            <w:vAlign w:val="center"/>
            <w:hideMark/>
          </w:tcPr>
          <w:p w:rsidR="00663526" w:rsidRDefault="001E515E">
            <w:r>
              <w:rPr>
                <w:noProof/>
              </w:rPr>
              <w:pict>
                <v:shape id="_x0000_i1026" type="#_x0000_t75" alt="Описание: C:\Documents and Settings\o.tututchenko\Application Data\Liga70\Client\Session\LOGOTYPE.BMP" style="width:54.75pt;height:24.75pt;visibility:visible">
                  <v:imagedata r:id="rId5"/>
                </v:shape>
              </w:pict>
            </w:r>
          </w:p>
        </w:tc>
      </w:tr>
    </w:tbl>
    <w:p w:rsidR="00663526" w:rsidRDefault="00663526"/>
    <w:sectPr w:rsidR="0066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15E"/>
    <w:rsid w:val="001E515E"/>
    <w:rsid w:val="00361A99"/>
    <w:rsid w:val="006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82F40F-190C-48B1-8AC9-2F543AC7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5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51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o.tututchenko\Application%20Data\Liga70\Client\Session\LOGOTYPE.BMP" TargetMode="External"/><Relationship Id="rId4" Type="http://schemas.openxmlformats.org/officeDocument/2006/relationships/image" Target="file:///C:\Documents%20and%20Settings\o.tututchenko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Постанова №1052.doc</Template>
  <TotalTime>0</TotalTime>
  <Pages>4</Pages>
  <Words>4692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Chernigivoblenergo</Company>
  <LinksUpToDate>false</LinksUpToDate>
  <CharactersWithSpaces>7353</CharactersWithSpaces>
  <SharedDoc>false</SharedDoc>
  <HLinks>
    <vt:vector size="12" baseType="variant">
      <vt:variant>
        <vt:i4>3014656</vt:i4>
      </vt:variant>
      <vt:variant>
        <vt:i4>2316</vt:i4>
      </vt:variant>
      <vt:variant>
        <vt:i4>1026</vt:i4>
      </vt:variant>
      <vt:variant>
        <vt:i4>1</vt:i4>
      </vt:variant>
      <vt:variant>
        <vt:lpwstr>C:\Documents and Settings\o.tututchenko\Application Data\Liga70\Client\Session\TSIGN.GIF</vt:lpwstr>
      </vt:variant>
      <vt:variant>
        <vt:lpwstr/>
      </vt:variant>
      <vt:variant>
        <vt:i4>1048621</vt:i4>
      </vt:variant>
      <vt:variant>
        <vt:i4>18634</vt:i4>
      </vt:variant>
      <vt:variant>
        <vt:i4>1025</vt:i4>
      </vt:variant>
      <vt:variant>
        <vt:i4>1</vt:i4>
      </vt:variant>
      <vt:variant>
        <vt:lpwstr>C:\Documents and Settings\o.tututchenko\Application Data\Liga70\Client\Session\LOGOTYPE.BMP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Тутутченко Оксана Степанiвна</dc:creator>
  <cp:keywords/>
  <dc:description/>
  <cp:lastModifiedBy>s.danilchenko</cp:lastModifiedBy>
  <cp:revision>2</cp:revision>
  <dcterms:created xsi:type="dcterms:W3CDTF">2018-03-15T07:27:00Z</dcterms:created>
  <dcterms:modified xsi:type="dcterms:W3CDTF">2018-03-15T07:27:00Z</dcterms:modified>
</cp:coreProperties>
</file>